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4B" w:rsidRPr="0029422D" w:rsidRDefault="00291E4B" w:rsidP="00FE52FF">
      <w:pPr>
        <w:rPr>
          <w:rFonts w:ascii="仿宋_GB2312" w:eastAsia="仿宋_GB2312" w:hAnsi="仿宋"/>
          <w:b/>
          <w:bCs/>
        </w:rPr>
      </w:pPr>
    </w:p>
    <w:p w:rsidR="00291E4B" w:rsidRPr="0029422D" w:rsidRDefault="00291E4B" w:rsidP="00FE52FF">
      <w:pPr>
        <w:rPr>
          <w:rFonts w:ascii="仿宋_GB2312" w:eastAsia="仿宋_GB2312" w:hAnsi="仿宋"/>
          <w:b/>
          <w:bCs/>
        </w:rPr>
      </w:pPr>
    </w:p>
    <w:p w:rsidR="00291E4B" w:rsidRPr="0029422D" w:rsidRDefault="00291E4B" w:rsidP="00FE52FF">
      <w:pPr>
        <w:rPr>
          <w:rFonts w:ascii="仿宋_GB2312" w:eastAsia="仿宋_GB2312" w:hAnsi="仿宋"/>
          <w:b/>
          <w:bCs/>
        </w:rPr>
      </w:pPr>
    </w:p>
    <w:p w:rsidR="00291E4B" w:rsidRPr="0029422D" w:rsidRDefault="00291E4B" w:rsidP="00FE52FF">
      <w:pPr>
        <w:pStyle w:val="TOCHeading"/>
        <w:jc w:val="center"/>
        <w:rPr>
          <w:rFonts w:ascii="仿宋_GB2312" w:eastAsia="仿宋_GB2312" w:hAnsi="仿宋" w:cs="Times New Roman"/>
          <w:color w:val="auto"/>
          <w:kern w:val="2"/>
          <w:sz w:val="44"/>
          <w:szCs w:val="44"/>
        </w:rPr>
      </w:pPr>
      <w:r w:rsidRPr="0029422D">
        <w:rPr>
          <w:rFonts w:ascii="仿宋_GB2312" w:eastAsia="仿宋_GB2312" w:hAnsi="仿宋" w:cs="仿宋_GB2312" w:hint="eastAsia"/>
          <w:color w:val="auto"/>
          <w:kern w:val="2"/>
          <w:sz w:val="44"/>
          <w:szCs w:val="44"/>
        </w:rPr>
        <w:t>福州市“十三五”电动汽车充电</w:t>
      </w:r>
    </w:p>
    <w:p w:rsidR="00291E4B" w:rsidRPr="0029422D" w:rsidRDefault="00291E4B" w:rsidP="00FE52FF">
      <w:pPr>
        <w:pStyle w:val="TOCHeading"/>
        <w:jc w:val="center"/>
        <w:rPr>
          <w:rFonts w:ascii="仿宋_GB2312" w:eastAsia="仿宋_GB2312" w:hAnsi="仿宋" w:cs="Times New Roman"/>
          <w:color w:val="auto"/>
          <w:kern w:val="2"/>
          <w:sz w:val="44"/>
          <w:szCs w:val="44"/>
        </w:rPr>
      </w:pPr>
      <w:r w:rsidRPr="0029422D">
        <w:rPr>
          <w:rFonts w:ascii="仿宋_GB2312" w:eastAsia="仿宋_GB2312" w:hAnsi="仿宋" w:cs="仿宋_GB2312" w:hint="eastAsia"/>
          <w:color w:val="auto"/>
          <w:kern w:val="2"/>
          <w:sz w:val="44"/>
          <w:szCs w:val="44"/>
        </w:rPr>
        <w:t>基础设施专项规划</w:t>
      </w:r>
    </w:p>
    <w:p w:rsidR="00291E4B" w:rsidRPr="0029422D" w:rsidRDefault="00291E4B" w:rsidP="00FE52FF">
      <w:pPr>
        <w:pStyle w:val="TOCHeading"/>
        <w:jc w:val="center"/>
        <w:rPr>
          <w:rFonts w:ascii="仿宋_GB2312" w:eastAsia="仿宋_GB2312" w:hAnsi="仿宋" w:cs="Times New Roman"/>
          <w:color w:val="auto"/>
          <w:kern w:val="2"/>
          <w:sz w:val="44"/>
          <w:szCs w:val="44"/>
        </w:rPr>
      </w:pPr>
      <w:r w:rsidRPr="00F1632A">
        <w:rPr>
          <w:rFonts w:ascii="仿宋_GB2312" w:eastAsia="仿宋_GB2312" w:hAnsi="仿宋" w:cs="仿宋_GB2312" w:hint="eastAsia"/>
          <w:color w:val="auto"/>
          <w:kern w:val="2"/>
          <w:sz w:val="44"/>
          <w:szCs w:val="44"/>
        </w:rPr>
        <w:t>公布内容</w:t>
      </w:r>
    </w:p>
    <w:p w:rsidR="00291E4B" w:rsidRPr="0029422D" w:rsidRDefault="00291E4B" w:rsidP="00EA25CF">
      <w:pPr>
        <w:rPr>
          <w:b/>
          <w:bCs/>
        </w:rPr>
      </w:pPr>
    </w:p>
    <w:p w:rsidR="00291E4B" w:rsidRPr="0029422D" w:rsidRDefault="00291E4B" w:rsidP="00EA25CF">
      <w:pPr>
        <w:rPr>
          <w:b/>
          <w:bCs/>
        </w:rPr>
      </w:pPr>
    </w:p>
    <w:p w:rsidR="00291E4B" w:rsidRPr="0029422D" w:rsidRDefault="00291E4B" w:rsidP="00EA25CF">
      <w:pPr>
        <w:rPr>
          <w:b/>
          <w:bCs/>
        </w:rPr>
      </w:pPr>
    </w:p>
    <w:p w:rsidR="00291E4B" w:rsidRPr="0029422D" w:rsidRDefault="00291E4B" w:rsidP="00EA25CF">
      <w:pPr>
        <w:rPr>
          <w:b/>
          <w:bCs/>
        </w:rPr>
      </w:pPr>
    </w:p>
    <w:p w:rsidR="00291E4B" w:rsidRPr="0029422D" w:rsidRDefault="00291E4B" w:rsidP="00EA25CF">
      <w:pPr>
        <w:rPr>
          <w:b/>
          <w:bCs/>
        </w:rPr>
      </w:pPr>
    </w:p>
    <w:p w:rsidR="00291E4B" w:rsidRPr="0029422D" w:rsidRDefault="00291E4B" w:rsidP="00EA25CF">
      <w:pPr>
        <w:rPr>
          <w:b/>
          <w:bCs/>
        </w:rPr>
      </w:pPr>
    </w:p>
    <w:p w:rsidR="00291E4B" w:rsidRPr="0029422D" w:rsidRDefault="00291E4B" w:rsidP="00EA25CF">
      <w:pPr>
        <w:rPr>
          <w:b/>
          <w:bCs/>
        </w:rPr>
      </w:pPr>
    </w:p>
    <w:p w:rsidR="00291E4B" w:rsidRPr="0029422D" w:rsidRDefault="00291E4B" w:rsidP="00EA25CF">
      <w:pPr>
        <w:rPr>
          <w:b/>
          <w:bCs/>
        </w:rPr>
      </w:pPr>
    </w:p>
    <w:p w:rsidR="00291E4B" w:rsidRPr="0029422D" w:rsidRDefault="00291E4B" w:rsidP="00EA25CF">
      <w:pPr>
        <w:rPr>
          <w:b/>
          <w:bCs/>
        </w:rPr>
      </w:pPr>
    </w:p>
    <w:p w:rsidR="00291E4B" w:rsidRPr="0029422D" w:rsidRDefault="00291E4B" w:rsidP="00EA25CF">
      <w:pPr>
        <w:rPr>
          <w:b/>
          <w:bCs/>
        </w:rPr>
      </w:pPr>
    </w:p>
    <w:p w:rsidR="00291E4B" w:rsidRPr="0029422D" w:rsidRDefault="00291E4B" w:rsidP="00EA25CF">
      <w:pPr>
        <w:rPr>
          <w:b/>
          <w:bCs/>
        </w:rPr>
      </w:pPr>
    </w:p>
    <w:p w:rsidR="00291E4B" w:rsidRPr="0029422D" w:rsidRDefault="00291E4B" w:rsidP="00EA25CF">
      <w:pPr>
        <w:rPr>
          <w:b/>
          <w:bCs/>
        </w:rPr>
      </w:pPr>
    </w:p>
    <w:p w:rsidR="00291E4B" w:rsidRPr="0029422D" w:rsidRDefault="00291E4B" w:rsidP="00FE52FF">
      <w:pPr>
        <w:rPr>
          <w:rFonts w:ascii="仿宋_GB2312" w:eastAsia="仿宋_GB2312" w:hAnsi="仿宋"/>
          <w:b/>
          <w:bCs/>
        </w:rPr>
      </w:pPr>
    </w:p>
    <w:p w:rsidR="00291E4B" w:rsidRPr="0029422D" w:rsidRDefault="00291E4B" w:rsidP="00FE52FF">
      <w:pPr>
        <w:rPr>
          <w:rFonts w:ascii="仿宋_GB2312" w:eastAsia="仿宋_GB2312" w:hAnsi="仿宋"/>
          <w:b/>
          <w:bCs/>
        </w:rPr>
      </w:pPr>
    </w:p>
    <w:p w:rsidR="00291E4B" w:rsidRPr="0029422D" w:rsidRDefault="00291E4B" w:rsidP="00FE52FF">
      <w:pPr>
        <w:jc w:val="center"/>
        <w:rPr>
          <w:rFonts w:ascii="仿宋_GB2312" w:eastAsia="仿宋_GB2312" w:hAnsi="仿宋"/>
          <w:b/>
          <w:bCs/>
          <w:sz w:val="32"/>
          <w:szCs w:val="32"/>
        </w:rPr>
      </w:pPr>
      <w:r w:rsidRPr="0029422D">
        <w:rPr>
          <w:rFonts w:ascii="仿宋_GB2312" w:eastAsia="仿宋_GB2312" w:hAnsi="仿宋" w:cs="仿宋_GB2312" w:hint="eastAsia"/>
          <w:b/>
          <w:bCs/>
          <w:sz w:val="32"/>
          <w:szCs w:val="32"/>
        </w:rPr>
        <w:t>委托单位：福州市发展和改革委员会</w:t>
      </w:r>
    </w:p>
    <w:p w:rsidR="00291E4B" w:rsidRPr="0029422D" w:rsidRDefault="00291E4B" w:rsidP="00FE52FF">
      <w:pPr>
        <w:jc w:val="center"/>
        <w:rPr>
          <w:rFonts w:ascii="仿宋_GB2312" w:eastAsia="仿宋_GB2312" w:hAnsi="仿宋"/>
          <w:b/>
          <w:bCs/>
          <w:sz w:val="32"/>
          <w:szCs w:val="32"/>
        </w:rPr>
      </w:pPr>
      <w:r w:rsidRPr="0029422D">
        <w:rPr>
          <w:rFonts w:ascii="仿宋_GB2312" w:eastAsia="仿宋_GB2312" w:hAnsi="仿宋" w:cs="仿宋_GB2312" w:hint="eastAsia"/>
          <w:b/>
          <w:bCs/>
          <w:sz w:val="32"/>
          <w:szCs w:val="32"/>
        </w:rPr>
        <w:t>编制单位：福建省电力勘测设计院、福州市规划设计研究院</w:t>
      </w:r>
    </w:p>
    <w:p w:rsidR="00291E4B" w:rsidRDefault="00291E4B" w:rsidP="00FE52FF">
      <w:pPr>
        <w:jc w:val="center"/>
        <w:rPr>
          <w:rFonts w:ascii="仿宋_GB2312" w:eastAsia="仿宋_GB2312" w:hAnsi="仿宋"/>
          <w:b/>
          <w:bCs/>
          <w:sz w:val="32"/>
          <w:szCs w:val="32"/>
        </w:rPr>
      </w:pPr>
      <w:r w:rsidRPr="0029422D">
        <w:rPr>
          <w:rFonts w:ascii="仿宋_GB2312" w:eastAsia="仿宋_GB2312" w:hAnsi="仿宋" w:cs="仿宋_GB2312"/>
          <w:b/>
          <w:bCs/>
          <w:sz w:val="32"/>
          <w:szCs w:val="32"/>
        </w:rPr>
        <w:t>2016</w:t>
      </w:r>
      <w:r w:rsidRPr="0029422D">
        <w:rPr>
          <w:rFonts w:ascii="仿宋_GB2312" w:eastAsia="仿宋_GB2312" w:hAnsi="仿宋" w:cs="仿宋_GB2312" w:hint="eastAsia"/>
          <w:b/>
          <w:bCs/>
          <w:sz w:val="32"/>
          <w:szCs w:val="32"/>
        </w:rPr>
        <w:t>年</w:t>
      </w:r>
      <w:r w:rsidRPr="0029422D">
        <w:rPr>
          <w:rFonts w:ascii="仿宋_GB2312" w:eastAsia="仿宋_GB2312" w:hAnsi="仿宋" w:cs="仿宋_GB2312"/>
          <w:b/>
          <w:bCs/>
          <w:sz w:val="32"/>
          <w:szCs w:val="32"/>
        </w:rPr>
        <w:t>8</w:t>
      </w:r>
      <w:r w:rsidRPr="0029422D">
        <w:rPr>
          <w:rFonts w:ascii="仿宋_GB2312" w:eastAsia="仿宋_GB2312" w:hAnsi="仿宋" w:cs="仿宋_GB2312" w:hint="eastAsia"/>
          <w:b/>
          <w:bCs/>
          <w:sz w:val="32"/>
          <w:szCs w:val="32"/>
        </w:rPr>
        <w:t>月</w:t>
      </w:r>
    </w:p>
    <w:p w:rsidR="00291E4B" w:rsidRPr="0025459A" w:rsidRDefault="00291E4B" w:rsidP="0081610F">
      <w:pPr>
        <w:tabs>
          <w:tab w:val="left" w:pos="1274"/>
        </w:tabs>
        <w:spacing w:line="360" w:lineRule="auto"/>
        <w:ind w:firstLine="552"/>
        <w:rPr>
          <w:rFonts w:ascii="仿宋_GB2312" w:eastAsia="仿宋_GB2312"/>
          <w:sz w:val="32"/>
          <w:szCs w:val="32"/>
        </w:rPr>
        <w:sectPr w:rsidR="00291E4B" w:rsidRPr="0025459A" w:rsidSect="006777EE">
          <w:pgSz w:w="23814" w:h="16839" w:orient="landscape" w:code="8"/>
          <w:pgMar w:top="1800" w:right="1440" w:bottom="1800" w:left="1440" w:header="851" w:footer="992" w:gutter="0"/>
          <w:cols w:space="425"/>
          <w:docGrid w:type="lines" w:linePitch="312"/>
        </w:sectPr>
      </w:pPr>
      <w:bookmarkStart w:id="0" w:name="_Toc452469152"/>
    </w:p>
    <w:p w:rsidR="00291E4B" w:rsidRDefault="00291E4B" w:rsidP="006C7A66">
      <w:pPr>
        <w:pStyle w:val="Heading1"/>
        <w:jc w:val="center"/>
        <w:rPr>
          <w:rFonts w:ascii="黑体" w:eastAsia="黑体"/>
          <w:sz w:val="32"/>
          <w:szCs w:val="32"/>
        </w:rPr>
      </w:pPr>
      <w:bookmarkStart w:id="1" w:name="_Toc462643622"/>
      <w:bookmarkEnd w:id="0"/>
      <w:r>
        <w:rPr>
          <w:rFonts w:ascii="黑体" w:eastAsia="黑体" w:cs="黑体" w:hint="eastAsia"/>
          <w:sz w:val="32"/>
          <w:szCs w:val="32"/>
        </w:rPr>
        <w:t>总则</w:t>
      </w:r>
      <w:bookmarkEnd w:id="1"/>
    </w:p>
    <w:p w:rsidR="00291E4B" w:rsidRDefault="00291E4B" w:rsidP="00613EBB">
      <w:pPr>
        <w:pStyle w:val="Heading2"/>
        <w:ind w:left="709"/>
        <w:rPr>
          <w:rFonts w:cs="Times New Roman"/>
        </w:rPr>
      </w:pPr>
      <w:bookmarkStart w:id="2" w:name="_Toc456109352"/>
      <w:bookmarkStart w:id="3" w:name="_Toc462643623"/>
      <w:r>
        <w:rPr>
          <w:rFonts w:cs="黑体" w:hint="eastAsia"/>
        </w:rPr>
        <w:t>规划范围与规划年限</w:t>
      </w:r>
      <w:bookmarkEnd w:id="2"/>
      <w:bookmarkEnd w:id="3"/>
    </w:p>
    <w:p w:rsidR="00291E4B" w:rsidRPr="006A1B3E" w:rsidRDefault="00291E4B" w:rsidP="006F6AE2">
      <w:pPr>
        <w:ind w:firstLineChars="200" w:firstLine="31680"/>
        <w:rPr>
          <w:rFonts w:ascii="仿宋_GB2312" w:eastAsia="仿宋_GB2312"/>
          <w:sz w:val="32"/>
          <w:szCs w:val="32"/>
        </w:rPr>
      </w:pPr>
      <w:r w:rsidRPr="006A1B3E">
        <w:rPr>
          <w:rFonts w:ascii="仿宋_GB2312" w:eastAsia="仿宋_GB2312" w:cs="仿宋_GB2312" w:hint="eastAsia"/>
          <w:sz w:val="32"/>
          <w:szCs w:val="32"/>
        </w:rPr>
        <w:t>本次规划研究范围为</w:t>
      </w:r>
      <w:r w:rsidRPr="006A1B3E">
        <w:rPr>
          <w:rFonts w:ascii="仿宋_GB2312" w:eastAsia="仿宋_GB2312" w:hAnsi="仿宋" w:cs="仿宋_GB2312" w:hint="eastAsia"/>
          <w:sz w:val="32"/>
          <w:szCs w:val="32"/>
        </w:rPr>
        <w:t>福州</w:t>
      </w:r>
      <w:r w:rsidRPr="006A1B3E">
        <w:rPr>
          <w:rFonts w:ascii="Calibri" w:eastAsia="仿宋_GB2312" w:hAnsi="Calibri" w:cs="仿宋_GB2312" w:hint="eastAsia"/>
          <w:sz w:val="32"/>
          <w:szCs w:val="32"/>
        </w:rPr>
        <w:t>中心城区</w:t>
      </w:r>
      <w:r w:rsidRPr="006A1B3E">
        <w:rPr>
          <w:rFonts w:ascii="仿宋_GB2312" w:eastAsia="仿宋_GB2312" w:hAnsi="仿宋" w:cs="仿宋_GB2312" w:hint="eastAsia"/>
          <w:sz w:val="32"/>
          <w:szCs w:val="32"/>
        </w:rPr>
        <w:t>以及福清、长乐、连江现状城区，福州新区其他区域及福州市域其他县参照发展。</w:t>
      </w:r>
    </w:p>
    <w:p w:rsidR="00291E4B" w:rsidRDefault="00291E4B" w:rsidP="006F6AE2">
      <w:pPr>
        <w:ind w:firstLineChars="200" w:firstLine="31680"/>
        <w:rPr>
          <w:rFonts w:ascii="仿宋_GB2312" w:eastAsia="仿宋_GB2312"/>
          <w:sz w:val="32"/>
          <w:szCs w:val="32"/>
        </w:rPr>
      </w:pPr>
      <w:r w:rsidRPr="00646274">
        <w:rPr>
          <w:rFonts w:ascii="仿宋_GB2312" w:eastAsia="仿宋_GB2312" w:cs="仿宋_GB2312" w:hint="eastAsia"/>
          <w:sz w:val="32"/>
          <w:szCs w:val="32"/>
        </w:rPr>
        <w:t>规划</w:t>
      </w:r>
      <w:r>
        <w:rPr>
          <w:rFonts w:ascii="仿宋_GB2312" w:eastAsia="仿宋_GB2312" w:cs="仿宋_GB2312" w:hint="eastAsia"/>
          <w:sz w:val="32"/>
          <w:szCs w:val="32"/>
        </w:rPr>
        <w:t>期限：</w:t>
      </w:r>
      <w:r w:rsidRPr="00646274">
        <w:rPr>
          <w:rFonts w:ascii="仿宋_GB2312" w:eastAsia="仿宋_GB2312" w:cs="仿宋_GB2312"/>
          <w:sz w:val="32"/>
          <w:szCs w:val="32"/>
        </w:rPr>
        <w:t>2016</w:t>
      </w:r>
      <w:r w:rsidRPr="00646274">
        <w:rPr>
          <w:rFonts w:ascii="仿宋_GB2312" w:eastAsia="仿宋_GB2312" w:cs="仿宋_GB2312" w:hint="eastAsia"/>
          <w:sz w:val="32"/>
          <w:szCs w:val="32"/>
        </w:rPr>
        <w:t>～</w:t>
      </w:r>
      <w:r w:rsidRPr="00646274">
        <w:rPr>
          <w:rFonts w:ascii="仿宋_GB2312" w:eastAsia="仿宋_GB2312" w:cs="仿宋_GB2312"/>
          <w:sz w:val="32"/>
          <w:szCs w:val="32"/>
        </w:rPr>
        <w:t>2020</w:t>
      </w:r>
      <w:r w:rsidRPr="00646274">
        <w:rPr>
          <w:rFonts w:ascii="仿宋_GB2312" w:eastAsia="仿宋_GB2312" w:cs="仿宋_GB2312" w:hint="eastAsia"/>
          <w:sz w:val="32"/>
          <w:szCs w:val="32"/>
        </w:rPr>
        <w:t>年。</w:t>
      </w:r>
    </w:p>
    <w:p w:rsidR="00291E4B" w:rsidRPr="0025459A" w:rsidRDefault="00291E4B" w:rsidP="006C7A66">
      <w:pPr>
        <w:pStyle w:val="Heading1"/>
        <w:jc w:val="center"/>
        <w:rPr>
          <w:rFonts w:ascii="黑体" w:eastAsia="黑体"/>
          <w:sz w:val="32"/>
          <w:szCs w:val="32"/>
        </w:rPr>
      </w:pPr>
      <w:bookmarkStart w:id="4" w:name="_Toc462643625"/>
      <w:r w:rsidRPr="0025459A">
        <w:rPr>
          <w:rFonts w:ascii="黑体" w:eastAsia="黑体" w:cs="黑体" w:hint="eastAsia"/>
          <w:sz w:val="32"/>
          <w:szCs w:val="32"/>
        </w:rPr>
        <w:t>充电基础设施背景</w:t>
      </w:r>
      <w:r>
        <w:rPr>
          <w:rFonts w:ascii="黑体" w:eastAsia="黑体" w:cs="黑体" w:hint="eastAsia"/>
          <w:sz w:val="32"/>
          <w:szCs w:val="32"/>
        </w:rPr>
        <w:t>及发展现状</w:t>
      </w:r>
      <w:bookmarkEnd w:id="4"/>
    </w:p>
    <w:p w:rsidR="00291E4B" w:rsidRDefault="00291E4B" w:rsidP="005332D6">
      <w:pPr>
        <w:pStyle w:val="Heading2"/>
        <w:rPr>
          <w:rFonts w:cs="Times New Roman"/>
        </w:rPr>
      </w:pPr>
      <w:r w:rsidRPr="0025459A">
        <w:t xml:space="preserve">  </w:t>
      </w:r>
      <w:bookmarkStart w:id="5" w:name="_Toc462643626"/>
      <w:r w:rsidRPr="0025459A">
        <w:rPr>
          <w:rFonts w:cs="黑体" w:hint="eastAsia"/>
        </w:rPr>
        <w:t>电动汽车发展现状</w:t>
      </w:r>
      <w:bookmarkEnd w:id="5"/>
    </w:p>
    <w:p w:rsidR="00291E4B" w:rsidRPr="0025459A" w:rsidRDefault="00291E4B" w:rsidP="006F6AE2">
      <w:pPr>
        <w:tabs>
          <w:tab w:val="num" w:pos="0"/>
        </w:tabs>
        <w:spacing w:line="360" w:lineRule="auto"/>
        <w:ind w:firstLineChars="200" w:firstLine="31680"/>
        <w:rPr>
          <w:rFonts w:ascii="仿宋_GB2312" w:eastAsia="仿宋_GB2312" w:hAnsi="仿宋"/>
          <w:sz w:val="32"/>
          <w:szCs w:val="32"/>
        </w:rPr>
      </w:pPr>
      <w:r w:rsidRPr="0025459A">
        <w:rPr>
          <w:rFonts w:ascii="仿宋_GB2312" w:eastAsia="仿宋_GB2312" w:hAnsi="仿宋" w:cs="仿宋_GB2312" w:hint="eastAsia"/>
          <w:sz w:val="32"/>
          <w:szCs w:val="32"/>
        </w:rPr>
        <w:t>（一）全省电动汽车发展现状</w:t>
      </w:r>
    </w:p>
    <w:p w:rsidR="00291E4B" w:rsidRPr="0025459A" w:rsidRDefault="00291E4B" w:rsidP="003E5D5D">
      <w:pPr>
        <w:tabs>
          <w:tab w:val="left" w:pos="1274"/>
        </w:tabs>
        <w:spacing w:line="360" w:lineRule="auto"/>
        <w:ind w:firstLine="552"/>
        <w:rPr>
          <w:rFonts w:ascii="仿宋_GB2312" w:eastAsia="仿宋_GB2312" w:hAnsi="仿宋"/>
          <w:sz w:val="32"/>
          <w:szCs w:val="32"/>
        </w:rPr>
      </w:pPr>
      <w:r w:rsidRPr="0025459A">
        <w:rPr>
          <w:rFonts w:ascii="仿宋_GB2312" w:eastAsia="仿宋_GB2312" w:cs="仿宋_GB2312" w:hint="eastAsia"/>
          <w:sz w:val="32"/>
          <w:szCs w:val="32"/>
        </w:rPr>
        <w:t>据统计，</w:t>
      </w:r>
      <w:r w:rsidRPr="0025459A">
        <w:rPr>
          <w:rFonts w:ascii="仿宋_GB2312" w:eastAsia="仿宋_GB2312" w:hAnsi="仿宋" w:cs="仿宋_GB2312" w:hint="eastAsia"/>
          <w:sz w:val="32"/>
          <w:szCs w:val="32"/>
        </w:rPr>
        <w:t>截至</w:t>
      </w:r>
      <w:r w:rsidRPr="0025459A">
        <w:rPr>
          <w:rFonts w:ascii="仿宋_GB2312" w:eastAsia="仿宋_GB2312" w:hAnsi="仿宋" w:cs="仿宋_GB2312"/>
          <w:sz w:val="32"/>
          <w:szCs w:val="32"/>
        </w:rPr>
        <w:t>2015</w:t>
      </w:r>
      <w:r w:rsidRPr="0025459A">
        <w:rPr>
          <w:rFonts w:ascii="仿宋_GB2312" w:eastAsia="仿宋_GB2312" w:hAnsi="仿宋" w:cs="仿宋_GB2312" w:hint="eastAsia"/>
          <w:sz w:val="32"/>
          <w:szCs w:val="32"/>
        </w:rPr>
        <w:t>底福建省共计推广应用新能源汽车</w:t>
      </w:r>
      <w:r w:rsidRPr="0025459A">
        <w:rPr>
          <w:rFonts w:ascii="仿宋_GB2312" w:eastAsia="仿宋_GB2312" w:hAnsi="仿宋" w:cs="仿宋_GB2312"/>
          <w:sz w:val="32"/>
          <w:szCs w:val="32"/>
        </w:rPr>
        <w:t>7133</w:t>
      </w:r>
      <w:r w:rsidRPr="0025459A">
        <w:rPr>
          <w:rFonts w:ascii="仿宋_GB2312" w:eastAsia="仿宋_GB2312" w:hAnsi="仿宋" w:cs="仿宋_GB2312" w:hint="eastAsia"/>
          <w:sz w:val="32"/>
          <w:szCs w:val="32"/>
        </w:rPr>
        <w:t>辆。按地区分，福州</w:t>
      </w:r>
      <w:r w:rsidRPr="0025459A">
        <w:rPr>
          <w:rFonts w:ascii="仿宋_GB2312" w:eastAsia="仿宋_GB2312" w:hAnsi="仿宋" w:cs="仿宋_GB2312"/>
          <w:sz w:val="32"/>
          <w:szCs w:val="32"/>
        </w:rPr>
        <w:t>1831</w:t>
      </w:r>
      <w:r w:rsidRPr="0025459A">
        <w:rPr>
          <w:rFonts w:ascii="仿宋_GB2312" w:eastAsia="仿宋_GB2312" w:hAnsi="仿宋" w:cs="仿宋_GB2312" w:hint="eastAsia"/>
          <w:sz w:val="32"/>
          <w:szCs w:val="32"/>
        </w:rPr>
        <w:t>辆、厦门</w:t>
      </w:r>
      <w:r w:rsidRPr="0025459A">
        <w:rPr>
          <w:rFonts w:ascii="仿宋_GB2312" w:eastAsia="仿宋_GB2312" w:hAnsi="仿宋" w:cs="仿宋_GB2312"/>
          <w:sz w:val="32"/>
          <w:szCs w:val="32"/>
        </w:rPr>
        <w:t>2452</w:t>
      </w:r>
      <w:r w:rsidRPr="0025459A">
        <w:rPr>
          <w:rFonts w:ascii="仿宋_GB2312" w:eastAsia="仿宋_GB2312" w:hAnsi="仿宋" w:cs="仿宋_GB2312" w:hint="eastAsia"/>
          <w:sz w:val="32"/>
          <w:szCs w:val="32"/>
        </w:rPr>
        <w:t>辆、漳州</w:t>
      </w:r>
      <w:r w:rsidRPr="0025459A">
        <w:rPr>
          <w:rFonts w:ascii="仿宋_GB2312" w:eastAsia="仿宋_GB2312" w:hAnsi="仿宋" w:cs="仿宋_GB2312"/>
          <w:sz w:val="32"/>
          <w:szCs w:val="32"/>
        </w:rPr>
        <w:t>366</w:t>
      </w:r>
      <w:r w:rsidRPr="0025459A">
        <w:rPr>
          <w:rFonts w:ascii="仿宋_GB2312" w:eastAsia="仿宋_GB2312" w:hAnsi="仿宋" w:cs="仿宋_GB2312" w:hint="eastAsia"/>
          <w:sz w:val="32"/>
          <w:szCs w:val="32"/>
        </w:rPr>
        <w:t>辆、泉州</w:t>
      </w:r>
      <w:r w:rsidRPr="0025459A">
        <w:rPr>
          <w:rFonts w:ascii="仿宋_GB2312" w:eastAsia="仿宋_GB2312" w:hAnsi="仿宋" w:cs="仿宋_GB2312"/>
          <w:sz w:val="32"/>
          <w:szCs w:val="32"/>
        </w:rPr>
        <w:t>896</w:t>
      </w:r>
      <w:r w:rsidRPr="0025459A">
        <w:rPr>
          <w:rFonts w:ascii="仿宋_GB2312" w:eastAsia="仿宋_GB2312" w:hAnsi="仿宋" w:cs="仿宋_GB2312" w:hint="eastAsia"/>
          <w:sz w:val="32"/>
          <w:szCs w:val="32"/>
        </w:rPr>
        <w:t>辆、三明</w:t>
      </w:r>
      <w:r w:rsidRPr="0025459A">
        <w:rPr>
          <w:rFonts w:ascii="仿宋_GB2312" w:eastAsia="仿宋_GB2312" w:hAnsi="仿宋" w:cs="仿宋_GB2312"/>
          <w:sz w:val="32"/>
          <w:szCs w:val="32"/>
        </w:rPr>
        <w:t>297</w:t>
      </w:r>
      <w:r w:rsidRPr="0025459A">
        <w:rPr>
          <w:rFonts w:ascii="仿宋_GB2312" w:eastAsia="仿宋_GB2312" w:hAnsi="仿宋" w:cs="仿宋_GB2312" w:hint="eastAsia"/>
          <w:sz w:val="32"/>
          <w:szCs w:val="32"/>
        </w:rPr>
        <w:t>辆、莆田</w:t>
      </w:r>
      <w:r w:rsidRPr="0025459A">
        <w:rPr>
          <w:rFonts w:ascii="仿宋_GB2312" w:eastAsia="仿宋_GB2312" w:hAnsi="仿宋" w:cs="仿宋_GB2312"/>
          <w:sz w:val="32"/>
          <w:szCs w:val="32"/>
        </w:rPr>
        <w:t>233</w:t>
      </w:r>
      <w:r w:rsidRPr="0025459A">
        <w:rPr>
          <w:rFonts w:ascii="仿宋_GB2312" w:eastAsia="仿宋_GB2312" w:hAnsi="仿宋" w:cs="仿宋_GB2312" w:hint="eastAsia"/>
          <w:sz w:val="32"/>
          <w:szCs w:val="32"/>
        </w:rPr>
        <w:t>辆、南平</w:t>
      </w:r>
      <w:r w:rsidRPr="0025459A">
        <w:rPr>
          <w:rFonts w:ascii="仿宋_GB2312" w:eastAsia="仿宋_GB2312" w:hAnsi="仿宋" w:cs="仿宋_GB2312"/>
          <w:sz w:val="32"/>
          <w:szCs w:val="32"/>
        </w:rPr>
        <w:t>307</w:t>
      </w:r>
      <w:r w:rsidRPr="0025459A">
        <w:rPr>
          <w:rFonts w:ascii="仿宋_GB2312" w:eastAsia="仿宋_GB2312" w:hAnsi="仿宋" w:cs="仿宋_GB2312" w:hint="eastAsia"/>
          <w:sz w:val="32"/>
          <w:szCs w:val="32"/>
        </w:rPr>
        <w:t>辆、龙岩</w:t>
      </w:r>
      <w:r w:rsidRPr="0025459A">
        <w:rPr>
          <w:rFonts w:ascii="仿宋_GB2312" w:eastAsia="仿宋_GB2312" w:hAnsi="仿宋" w:cs="仿宋_GB2312"/>
          <w:sz w:val="32"/>
          <w:szCs w:val="32"/>
        </w:rPr>
        <w:t>210</w:t>
      </w:r>
      <w:r w:rsidRPr="0025459A">
        <w:rPr>
          <w:rFonts w:ascii="仿宋_GB2312" w:eastAsia="仿宋_GB2312" w:hAnsi="仿宋" w:cs="仿宋_GB2312" w:hint="eastAsia"/>
          <w:sz w:val="32"/>
          <w:szCs w:val="32"/>
        </w:rPr>
        <w:t>辆、宁德</w:t>
      </w:r>
      <w:r w:rsidRPr="0025459A">
        <w:rPr>
          <w:rFonts w:ascii="仿宋_GB2312" w:eastAsia="仿宋_GB2312" w:hAnsi="仿宋" w:cs="仿宋_GB2312"/>
          <w:sz w:val="32"/>
          <w:szCs w:val="32"/>
        </w:rPr>
        <w:t>468</w:t>
      </w:r>
      <w:r w:rsidRPr="0025459A">
        <w:rPr>
          <w:rFonts w:ascii="仿宋_GB2312" w:eastAsia="仿宋_GB2312" w:hAnsi="仿宋" w:cs="仿宋_GB2312" w:hint="eastAsia"/>
          <w:sz w:val="32"/>
          <w:szCs w:val="32"/>
        </w:rPr>
        <w:t>辆、平潭及省直单位</w:t>
      </w:r>
      <w:r w:rsidRPr="0025459A">
        <w:rPr>
          <w:rFonts w:ascii="仿宋_GB2312" w:eastAsia="仿宋_GB2312" w:hAnsi="仿宋" w:cs="仿宋_GB2312"/>
          <w:sz w:val="32"/>
          <w:szCs w:val="32"/>
        </w:rPr>
        <w:t>73</w:t>
      </w:r>
      <w:r w:rsidRPr="0025459A">
        <w:rPr>
          <w:rFonts w:ascii="仿宋_GB2312" w:eastAsia="仿宋_GB2312" w:hAnsi="仿宋" w:cs="仿宋_GB2312" w:hint="eastAsia"/>
          <w:sz w:val="32"/>
          <w:szCs w:val="32"/>
        </w:rPr>
        <w:t>辆。按应用领域分，公交</w:t>
      </w:r>
      <w:r w:rsidRPr="0025459A">
        <w:rPr>
          <w:rFonts w:ascii="仿宋_GB2312" w:eastAsia="仿宋_GB2312" w:hAnsi="仿宋" w:cs="仿宋_GB2312"/>
          <w:sz w:val="32"/>
          <w:szCs w:val="32"/>
        </w:rPr>
        <w:t>2768</w:t>
      </w:r>
      <w:r w:rsidRPr="0025459A">
        <w:rPr>
          <w:rFonts w:ascii="仿宋_GB2312" w:eastAsia="仿宋_GB2312" w:hAnsi="仿宋" w:cs="仿宋_GB2312" w:hint="eastAsia"/>
          <w:sz w:val="32"/>
          <w:szCs w:val="32"/>
        </w:rPr>
        <w:t>辆、企业通勤</w:t>
      </w:r>
      <w:r w:rsidRPr="0025459A">
        <w:rPr>
          <w:rFonts w:ascii="仿宋_GB2312" w:eastAsia="仿宋_GB2312" w:hAnsi="仿宋" w:cs="仿宋_GB2312"/>
          <w:sz w:val="32"/>
          <w:szCs w:val="32"/>
        </w:rPr>
        <w:t>764</w:t>
      </w:r>
      <w:r w:rsidRPr="0025459A">
        <w:rPr>
          <w:rFonts w:ascii="仿宋_GB2312" w:eastAsia="仿宋_GB2312" w:hAnsi="仿宋" w:cs="仿宋_GB2312" w:hint="eastAsia"/>
          <w:sz w:val="32"/>
          <w:szCs w:val="32"/>
        </w:rPr>
        <w:t>辆、出租</w:t>
      </w:r>
      <w:r w:rsidRPr="0025459A">
        <w:rPr>
          <w:rFonts w:ascii="仿宋_GB2312" w:eastAsia="仿宋_GB2312" w:hAnsi="仿宋" w:cs="仿宋_GB2312"/>
          <w:sz w:val="32"/>
          <w:szCs w:val="32"/>
        </w:rPr>
        <w:t>778</w:t>
      </w:r>
      <w:r w:rsidRPr="0025459A">
        <w:rPr>
          <w:rFonts w:ascii="仿宋_GB2312" w:eastAsia="仿宋_GB2312" w:hAnsi="仿宋" w:cs="仿宋_GB2312" w:hint="eastAsia"/>
          <w:sz w:val="32"/>
          <w:szCs w:val="32"/>
        </w:rPr>
        <w:t>辆、旅游容车</w:t>
      </w:r>
      <w:r w:rsidRPr="0025459A">
        <w:rPr>
          <w:rFonts w:ascii="仿宋_GB2312" w:eastAsia="仿宋_GB2312" w:hAnsi="仿宋" w:cs="仿宋_GB2312"/>
          <w:sz w:val="32"/>
          <w:szCs w:val="32"/>
        </w:rPr>
        <w:t>262</w:t>
      </w:r>
      <w:r w:rsidRPr="0025459A">
        <w:rPr>
          <w:rFonts w:ascii="仿宋_GB2312" w:eastAsia="仿宋_GB2312" w:hAnsi="仿宋" w:cs="仿宋_GB2312" w:hint="eastAsia"/>
          <w:sz w:val="32"/>
          <w:szCs w:val="32"/>
        </w:rPr>
        <w:t>辆、物流车</w:t>
      </w:r>
      <w:r w:rsidRPr="0025459A">
        <w:rPr>
          <w:rFonts w:ascii="仿宋_GB2312" w:eastAsia="仿宋_GB2312" w:hAnsi="仿宋" w:cs="仿宋_GB2312"/>
          <w:sz w:val="32"/>
          <w:szCs w:val="32"/>
        </w:rPr>
        <w:t>101</w:t>
      </w:r>
      <w:r w:rsidRPr="0025459A">
        <w:rPr>
          <w:rFonts w:ascii="仿宋_GB2312" w:eastAsia="仿宋_GB2312" w:hAnsi="仿宋" w:cs="仿宋_GB2312" w:hint="eastAsia"/>
          <w:sz w:val="32"/>
          <w:szCs w:val="32"/>
        </w:rPr>
        <w:t>辆、租赁</w:t>
      </w:r>
      <w:r w:rsidRPr="0025459A">
        <w:rPr>
          <w:rFonts w:ascii="仿宋_GB2312" w:eastAsia="仿宋_GB2312" w:hAnsi="仿宋" w:cs="仿宋_GB2312"/>
          <w:sz w:val="32"/>
          <w:szCs w:val="32"/>
        </w:rPr>
        <w:t>85</w:t>
      </w:r>
      <w:r w:rsidRPr="0025459A">
        <w:rPr>
          <w:rFonts w:ascii="仿宋_GB2312" w:eastAsia="仿宋_GB2312" w:hAnsi="仿宋" w:cs="仿宋_GB2312" w:hint="eastAsia"/>
          <w:sz w:val="32"/>
          <w:szCs w:val="32"/>
        </w:rPr>
        <w:t>辆、公务</w:t>
      </w:r>
      <w:r w:rsidRPr="0025459A">
        <w:rPr>
          <w:rFonts w:ascii="仿宋_GB2312" w:eastAsia="仿宋_GB2312" w:hAnsi="仿宋" w:cs="仿宋_GB2312"/>
          <w:sz w:val="32"/>
          <w:szCs w:val="32"/>
        </w:rPr>
        <w:t>26</w:t>
      </w:r>
      <w:r w:rsidRPr="0025459A">
        <w:rPr>
          <w:rFonts w:ascii="仿宋_GB2312" w:eastAsia="仿宋_GB2312" w:hAnsi="仿宋" w:cs="仿宋_GB2312" w:hint="eastAsia"/>
          <w:sz w:val="32"/>
          <w:szCs w:val="32"/>
        </w:rPr>
        <w:t>辆、私人</w:t>
      </w:r>
      <w:r w:rsidRPr="0025459A">
        <w:rPr>
          <w:rFonts w:ascii="仿宋_GB2312" w:eastAsia="仿宋_GB2312" w:hAnsi="仿宋" w:cs="仿宋_GB2312"/>
          <w:sz w:val="32"/>
          <w:szCs w:val="32"/>
        </w:rPr>
        <w:t>2072</w:t>
      </w:r>
      <w:r w:rsidRPr="0025459A">
        <w:rPr>
          <w:rFonts w:ascii="仿宋_GB2312" w:eastAsia="仿宋_GB2312" w:hAnsi="仿宋" w:cs="仿宋_GB2312" w:hint="eastAsia"/>
          <w:sz w:val="32"/>
          <w:szCs w:val="32"/>
        </w:rPr>
        <w:t>辆、其他</w:t>
      </w:r>
      <w:r w:rsidRPr="0025459A">
        <w:rPr>
          <w:rFonts w:ascii="仿宋_GB2312" w:eastAsia="仿宋_GB2312" w:hAnsi="仿宋" w:cs="仿宋_GB2312"/>
          <w:sz w:val="32"/>
          <w:szCs w:val="32"/>
        </w:rPr>
        <w:t>199</w:t>
      </w:r>
      <w:r w:rsidRPr="0025459A">
        <w:rPr>
          <w:rFonts w:ascii="仿宋_GB2312" w:eastAsia="仿宋_GB2312" w:hAnsi="仿宋" w:cs="仿宋_GB2312" w:hint="eastAsia"/>
          <w:sz w:val="32"/>
          <w:szCs w:val="32"/>
        </w:rPr>
        <w:t>辆。</w:t>
      </w:r>
    </w:p>
    <w:p w:rsidR="00291E4B" w:rsidRPr="0025459A" w:rsidRDefault="00291E4B" w:rsidP="006F6AE2">
      <w:pPr>
        <w:spacing w:line="360" w:lineRule="auto"/>
        <w:ind w:firstLineChars="200" w:firstLine="31680"/>
        <w:rPr>
          <w:rFonts w:ascii="仿宋_GB2312" w:eastAsia="仿宋_GB2312" w:hAnsi="仿宋"/>
          <w:sz w:val="32"/>
          <w:szCs w:val="32"/>
        </w:rPr>
      </w:pPr>
      <w:r w:rsidRPr="0025459A">
        <w:rPr>
          <w:rFonts w:ascii="仿宋_GB2312" w:eastAsia="仿宋_GB2312" w:hAnsi="仿宋" w:cs="仿宋_GB2312" w:hint="eastAsia"/>
          <w:sz w:val="32"/>
          <w:szCs w:val="32"/>
        </w:rPr>
        <w:t>电动汽车在我省推进相对缓慢，一方面在于电动汽车电池存电量及一次充电后的续航能力仍存在明显瓶颈，另一方面充电基础设施布局很不完善，也是制约电动汽车发展的一个重要因素。</w:t>
      </w:r>
    </w:p>
    <w:p w:rsidR="00291E4B" w:rsidRPr="0025459A" w:rsidRDefault="00291E4B" w:rsidP="006F6AE2">
      <w:pPr>
        <w:tabs>
          <w:tab w:val="num" w:pos="0"/>
        </w:tabs>
        <w:spacing w:line="360" w:lineRule="auto"/>
        <w:ind w:firstLineChars="200" w:firstLine="31680"/>
        <w:rPr>
          <w:rFonts w:ascii="仿宋_GB2312" w:eastAsia="仿宋_GB2312" w:hAnsi="仿宋"/>
          <w:sz w:val="32"/>
          <w:szCs w:val="32"/>
        </w:rPr>
      </w:pPr>
      <w:r w:rsidRPr="0025459A">
        <w:rPr>
          <w:rFonts w:ascii="仿宋_GB2312" w:eastAsia="仿宋_GB2312" w:hAnsi="仿宋" w:cs="仿宋_GB2312" w:hint="eastAsia"/>
          <w:sz w:val="32"/>
          <w:szCs w:val="32"/>
        </w:rPr>
        <w:t>（二）福州市电动汽车发展现状</w:t>
      </w:r>
    </w:p>
    <w:p w:rsidR="00291E4B" w:rsidRPr="0025459A" w:rsidRDefault="00291E4B" w:rsidP="006F6AE2">
      <w:pPr>
        <w:tabs>
          <w:tab w:val="num" w:pos="0"/>
        </w:tabs>
        <w:spacing w:line="360" w:lineRule="auto"/>
        <w:ind w:firstLineChars="200" w:firstLine="31680"/>
      </w:pPr>
      <w:r w:rsidRPr="0025459A">
        <w:rPr>
          <w:rFonts w:ascii="仿宋_GB2312" w:eastAsia="仿宋_GB2312" w:hAnsi="仿宋" w:cs="仿宋_GB2312" w:hint="eastAsia"/>
          <w:sz w:val="32"/>
          <w:szCs w:val="32"/>
        </w:rPr>
        <w:t>据统计，截至</w:t>
      </w:r>
      <w:r w:rsidRPr="0025459A">
        <w:rPr>
          <w:rFonts w:ascii="仿宋_GB2312" w:eastAsia="仿宋_GB2312" w:hAnsi="仿宋" w:cs="仿宋_GB2312"/>
          <w:sz w:val="32"/>
          <w:szCs w:val="32"/>
        </w:rPr>
        <w:t>2015</w:t>
      </w:r>
      <w:r w:rsidRPr="0025459A">
        <w:rPr>
          <w:rFonts w:ascii="仿宋_GB2312" w:eastAsia="仿宋_GB2312" w:hAnsi="仿宋" w:cs="仿宋_GB2312" w:hint="eastAsia"/>
          <w:sz w:val="32"/>
          <w:szCs w:val="32"/>
        </w:rPr>
        <w:t>底福州市共计推广应用新能源汽车</w:t>
      </w:r>
      <w:r w:rsidRPr="0025459A">
        <w:rPr>
          <w:rFonts w:ascii="仿宋_GB2312" w:eastAsia="仿宋_GB2312" w:hAnsi="仿宋" w:cs="仿宋_GB2312"/>
          <w:sz w:val="32"/>
          <w:szCs w:val="32"/>
        </w:rPr>
        <w:t>1831</w:t>
      </w:r>
      <w:r w:rsidRPr="0025459A">
        <w:rPr>
          <w:rFonts w:ascii="仿宋_GB2312" w:eastAsia="仿宋_GB2312" w:hAnsi="仿宋" w:cs="仿宋_GB2312" w:hint="eastAsia"/>
          <w:sz w:val="32"/>
          <w:szCs w:val="32"/>
        </w:rPr>
        <w:t>辆。按应用领域分，公交</w:t>
      </w:r>
      <w:r w:rsidRPr="0025459A">
        <w:rPr>
          <w:rFonts w:ascii="仿宋_GB2312" w:eastAsia="仿宋_GB2312" w:hAnsi="仿宋" w:cs="仿宋_GB2312"/>
          <w:sz w:val="32"/>
          <w:szCs w:val="32"/>
        </w:rPr>
        <w:t>927</w:t>
      </w:r>
      <w:r w:rsidRPr="0025459A">
        <w:rPr>
          <w:rFonts w:ascii="仿宋_GB2312" w:eastAsia="仿宋_GB2312" w:hAnsi="仿宋" w:cs="仿宋_GB2312" w:hint="eastAsia"/>
          <w:sz w:val="32"/>
          <w:szCs w:val="32"/>
        </w:rPr>
        <w:t>辆，公路及旅游客运</w:t>
      </w:r>
      <w:r w:rsidRPr="0025459A">
        <w:rPr>
          <w:rFonts w:ascii="仿宋_GB2312" w:eastAsia="仿宋_GB2312" w:hAnsi="仿宋" w:cs="仿宋_GB2312"/>
          <w:sz w:val="32"/>
          <w:szCs w:val="32"/>
        </w:rPr>
        <w:t>82</w:t>
      </w:r>
      <w:r w:rsidRPr="0025459A">
        <w:rPr>
          <w:rFonts w:ascii="仿宋_GB2312" w:eastAsia="仿宋_GB2312" w:hAnsi="仿宋" w:cs="仿宋_GB2312" w:hint="eastAsia"/>
          <w:sz w:val="32"/>
          <w:szCs w:val="32"/>
        </w:rPr>
        <w:t>辆，租赁</w:t>
      </w:r>
      <w:r w:rsidRPr="0025459A">
        <w:rPr>
          <w:rFonts w:ascii="仿宋_GB2312" w:eastAsia="仿宋_GB2312" w:hAnsi="仿宋" w:cs="仿宋_GB2312"/>
          <w:sz w:val="32"/>
          <w:szCs w:val="32"/>
        </w:rPr>
        <w:t>66</w:t>
      </w:r>
      <w:r w:rsidRPr="0025459A">
        <w:rPr>
          <w:rFonts w:ascii="仿宋_GB2312" w:eastAsia="仿宋_GB2312" w:hAnsi="仿宋" w:cs="仿宋_GB2312" w:hint="eastAsia"/>
          <w:sz w:val="32"/>
          <w:szCs w:val="32"/>
        </w:rPr>
        <w:t>辆，私人及其他</w:t>
      </w:r>
      <w:r w:rsidRPr="0025459A">
        <w:rPr>
          <w:rFonts w:ascii="仿宋_GB2312" w:eastAsia="仿宋_GB2312" w:hAnsi="仿宋" w:cs="仿宋_GB2312"/>
          <w:sz w:val="32"/>
          <w:szCs w:val="32"/>
        </w:rPr>
        <w:t>756</w:t>
      </w:r>
      <w:r w:rsidRPr="0025459A">
        <w:rPr>
          <w:rFonts w:ascii="仿宋_GB2312" w:eastAsia="仿宋_GB2312" w:hAnsi="仿宋" w:cs="仿宋_GB2312" w:hint="eastAsia"/>
          <w:sz w:val="32"/>
          <w:szCs w:val="32"/>
        </w:rPr>
        <w:t>辆；按所有权分，单位</w:t>
      </w:r>
      <w:r w:rsidRPr="0025459A">
        <w:rPr>
          <w:rFonts w:ascii="仿宋_GB2312" w:eastAsia="仿宋_GB2312" w:hAnsi="仿宋" w:cs="仿宋_GB2312"/>
          <w:sz w:val="32"/>
          <w:szCs w:val="32"/>
        </w:rPr>
        <w:t>1367</w:t>
      </w:r>
      <w:r w:rsidRPr="0025459A">
        <w:rPr>
          <w:rFonts w:ascii="仿宋_GB2312" w:eastAsia="仿宋_GB2312" w:hAnsi="仿宋" w:cs="仿宋_GB2312" w:hint="eastAsia"/>
          <w:sz w:val="32"/>
          <w:szCs w:val="32"/>
        </w:rPr>
        <w:t>辆，个人</w:t>
      </w:r>
      <w:r w:rsidRPr="0025459A">
        <w:rPr>
          <w:rFonts w:ascii="仿宋_GB2312" w:eastAsia="仿宋_GB2312" w:hAnsi="仿宋" w:cs="仿宋_GB2312"/>
          <w:sz w:val="32"/>
          <w:szCs w:val="32"/>
        </w:rPr>
        <w:t>464</w:t>
      </w:r>
      <w:r w:rsidRPr="0025459A">
        <w:rPr>
          <w:rFonts w:ascii="仿宋_GB2312" w:eastAsia="仿宋_GB2312" w:hAnsi="仿宋" w:cs="仿宋_GB2312" w:hint="eastAsia"/>
          <w:sz w:val="32"/>
          <w:szCs w:val="32"/>
        </w:rPr>
        <w:t>辆。其中纯电动汽车数量</w:t>
      </w:r>
      <w:r w:rsidRPr="0025459A">
        <w:rPr>
          <w:rFonts w:ascii="仿宋_GB2312" w:eastAsia="仿宋_GB2312" w:hAnsi="仿宋" w:cs="仿宋_GB2312"/>
          <w:sz w:val="32"/>
          <w:szCs w:val="32"/>
        </w:rPr>
        <w:t>1625</w:t>
      </w:r>
      <w:r w:rsidRPr="0025459A">
        <w:rPr>
          <w:rFonts w:ascii="仿宋_GB2312" w:eastAsia="仿宋_GB2312" w:hAnsi="仿宋" w:cs="仿宋_GB2312" w:hint="eastAsia"/>
          <w:sz w:val="32"/>
          <w:szCs w:val="32"/>
        </w:rPr>
        <w:t>辆，单位用车</w:t>
      </w:r>
      <w:r w:rsidRPr="0025459A">
        <w:rPr>
          <w:rFonts w:ascii="仿宋_GB2312" w:eastAsia="仿宋_GB2312" w:hAnsi="仿宋" w:cs="仿宋_GB2312"/>
          <w:sz w:val="32"/>
          <w:szCs w:val="32"/>
        </w:rPr>
        <w:t>134</w:t>
      </w:r>
      <w:r w:rsidRPr="006A1B3E">
        <w:rPr>
          <w:rFonts w:ascii="仿宋_GB2312" w:eastAsia="仿宋_GB2312" w:hAnsi="仿宋" w:cs="仿宋_GB2312"/>
          <w:sz w:val="32"/>
          <w:szCs w:val="32"/>
        </w:rPr>
        <w:t>6</w:t>
      </w:r>
      <w:r w:rsidRPr="006A1B3E">
        <w:rPr>
          <w:rFonts w:ascii="仿宋_GB2312" w:eastAsia="仿宋_GB2312" w:hAnsi="仿宋" w:cs="仿宋_GB2312" w:hint="eastAsia"/>
          <w:sz w:val="32"/>
          <w:szCs w:val="32"/>
        </w:rPr>
        <w:t>辆，占纯电动汽车总数的</w:t>
      </w:r>
      <w:r w:rsidRPr="006A1B3E">
        <w:rPr>
          <w:rFonts w:ascii="仿宋_GB2312" w:eastAsia="仿宋_GB2312" w:hAnsi="仿宋" w:cs="仿宋_GB2312"/>
          <w:sz w:val="32"/>
          <w:szCs w:val="32"/>
        </w:rPr>
        <w:t>83%</w:t>
      </w:r>
      <w:r w:rsidRPr="006A1B3E">
        <w:rPr>
          <w:rFonts w:ascii="仿宋_GB2312" w:eastAsia="仿宋_GB2312" w:hAnsi="仿宋" w:cs="仿宋_GB2312" w:hint="eastAsia"/>
          <w:sz w:val="32"/>
          <w:szCs w:val="32"/>
        </w:rPr>
        <w:t>。公交</w:t>
      </w:r>
      <w:r w:rsidRPr="006A1B3E">
        <w:rPr>
          <w:rFonts w:ascii="仿宋_GB2312" w:eastAsia="仿宋_GB2312" w:hAnsi="仿宋" w:cs="仿宋_GB2312"/>
          <w:sz w:val="32"/>
          <w:szCs w:val="32"/>
        </w:rPr>
        <w:t>927</w:t>
      </w:r>
      <w:r w:rsidRPr="006A1B3E">
        <w:rPr>
          <w:rFonts w:ascii="仿宋_GB2312" w:eastAsia="仿宋_GB2312" w:hAnsi="仿宋" w:cs="仿宋_GB2312" w:hint="eastAsia"/>
          <w:sz w:val="32"/>
          <w:szCs w:val="32"/>
        </w:rPr>
        <w:t>辆均为纯电动汽车，为推广数量最多的领域；个</w:t>
      </w:r>
      <w:r w:rsidRPr="0025459A">
        <w:rPr>
          <w:rFonts w:ascii="仿宋_GB2312" w:eastAsia="仿宋_GB2312" w:hAnsi="仿宋" w:cs="仿宋_GB2312" w:hint="eastAsia"/>
          <w:sz w:val="32"/>
          <w:szCs w:val="32"/>
        </w:rPr>
        <w:t>人纯电动汽车拥有量为</w:t>
      </w:r>
      <w:r w:rsidRPr="0025459A">
        <w:rPr>
          <w:rFonts w:ascii="仿宋_GB2312" w:eastAsia="仿宋_GB2312" w:hAnsi="仿宋" w:cs="仿宋_GB2312"/>
          <w:sz w:val="32"/>
          <w:szCs w:val="32"/>
        </w:rPr>
        <w:t>279</w:t>
      </w:r>
      <w:r w:rsidRPr="0025459A">
        <w:rPr>
          <w:rFonts w:ascii="仿宋_GB2312" w:eastAsia="仿宋_GB2312" w:hAnsi="仿宋" w:cs="仿宋_GB2312" w:hint="eastAsia"/>
          <w:sz w:val="32"/>
          <w:szCs w:val="32"/>
        </w:rPr>
        <w:t>辆，数量位居第二</w:t>
      </w:r>
      <w:r>
        <w:rPr>
          <w:rFonts w:ascii="仿宋_GB2312" w:eastAsia="仿宋_GB2312" w:hAnsi="仿宋" w:cs="仿宋_GB2312"/>
          <w:sz w:val="32"/>
          <w:szCs w:val="32"/>
        </w:rPr>
        <w:t xml:space="preserve"> </w:t>
      </w:r>
      <w:r w:rsidRPr="0025459A">
        <w:rPr>
          <w:rFonts w:ascii="仿宋_GB2312" w:eastAsia="仿宋_GB2312" w:hAnsi="仿宋" w:cs="仿宋_GB2312" w:hint="eastAsia"/>
          <w:sz w:val="32"/>
          <w:szCs w:val="32"/>
        </w:rPr>
        <w:t>。（数据来源：福州市经济和信息化委员会）</w:t>
      </w:r>
    </w:p>
    <w:p w:rsidR="00291E4B" w:rsidRPr="0025459A" w:rsidRDefault="00291E4B" w:rsidP="003E5D5D">
      <w:pPr>
        <w:pStyle w:val="Heading2"/>
        <w:rPr>
          <w:rFonts w:cs="Times New Roman"/>
        </w:rPr>
      </w:pPr>
      <w:r w:rsidRPr="0025459A">
        <w:t xml:space="preserve">  </w:t>
      </w:r>
      <w:bookmarkStart w:id="6" w:name="_Toc462643627"/>
      <w:r w:rsidRPr="0025459A">
        <w:rPr>
          <w:rFonts w:cs="黑体" w:hint="eastAsia"/>
        </w:rPr>
        <w:t>充电基础设施发展现状</w:t>
      </w:r>
      <w:bookmarkEnd w:id="6"/>
    </w:p>
    <w:p w:rsidR="00291E4B" w:rsidRPr="0025459A" w:rsidRDefault="00291E4B" w:rsidP="006F6AE2">
      <w:pPr>
        <w:tabs>
          <w:tab w:val="num" w:pos="0"/>
        </w:tabs>
        <w:spacing w:line="360" w:lineRule="auto"/>
        <w:ind w:firstLineChars="200" w:firstLine="31680"/>
        <w:rPr>
          <w:rFonts w:ascii="仿宋_GB2312" w:eastAsia="仿宋_GB2312" w:hAnsi="仿宋"/>
          <w:sz w:val="32"/>
          <w:szCs w:val="32"/>
        </w:rPr>
      </w:pPr>
      <w:r w:rsidRPr="0025459A">
        <w:rPr>
          <w:rFonts w:ascii="仿宋_GB2312" w:eastAsia="仿宋_GB2312" w:hAnsi="仿宋" w:cs="仿宋_GB2312" w:hint="eastAsia"/>
          <w:sz w:val="32"/>
          <w:szCs w:val="32"/>
        </w:rPr>
        <w:t>一、福建省充电设施建设现状</w:t>
      </w:r>
    </w:p>
    <w:p w:rsidR="00291E4B" w:rsidRPr="0025459A" w:rsidRDefault="00291E4B" w:rsidP="006F6AE2">
      <w:pPr>
        <w:spacing w:line="360" w:lineRule="auto"/>
        <w:ind w:firstLineChars="200" w:firstLine="31680"/>
        <w:rPr>
          <w:rFonts w:ascii="仿宋_GB2312" w:eastAsia="仿宋_GB2312" w:hAnsi="仿宋"/>
          <w:sz w:val="32"/>
          <w:szCs w:val="32"/>
        </w:rPr>
      </w:pPr>
      <w:r w:rsidRPr="0025459A">
        <w:rPr>
          <w:rFonts w:ascii="仿宋_GB2312" w:eastAsia="仿宋_GB2312" w:hAnsi="仿宋" w:cs="仿宋_GB2312" w:hint="eastAsia"/>
          <w:sz w:val="32"/>
          <w:szCs w:val="32"/>
        </w:rPr>
        <w:t>目前，福建省电动汽车充电设施建设均由各运营商自主投资建设，尚存于起步阶段，主要分布在电力、公交公司既有场站中，主要供应对象为城市公交车辆、小型电力工程车辆。</w:t>
      </w:r>
    </w:p>
    <w:p w:rsidR="00291E4B" w:rsidRPr="0025459A" w:rsidRDefault="00291E4B" w:rsidP="006F6AE2">
      <w:pPr>
        <w:spacing w:line="360" w:lineRule="auto"/>
        <w:ind w:firstLineChars="200" w:firstLine="31680"/>
        <w:rPr>
          <w:rFonts w:ascii="仿宋_GB2312" w:eastAsia="仿宋_GB2312" w:hAnsi="仿宋"/>
          <w:sz w:val="32"/>
          <w:szCs w:val="32"/>
        </w:rPr>
      </w:pPr>
      <w:r w:rsidRPr="0025459A">
        <w:rPr>
          <w:rFonts w:ascii="仿宋_GB2312" w:eastAsia="仿宋_GB2312" w:hAnsi="仿宋" w:cs="仿宋_GB2312" w:hint="eastAsia"/>
          <w:sz w:val="32"/>
          <w:szCs w:val="32"/>
        </w:rPr>
        <w:t>至</w:t>
      </w:r>
      <w:r w:rsidRPr="0025459A">
        <w:rPr>
          <w:rFonts w:ascii="仿宋_GB2312" w:eastAsia="仿宋_GB2312" w:hAnsi="仿宋" w:cs="仿宋_GB2312"/>
          <w:sz w:val="32"/>
          <w:szCs w:val="32"/>
        </w:rPr>
        <w:t>2015</w:t>
      </w:r>
      <w:r w:rsidRPr="0025459A">
        <w:rPr>
          <w:rFonts w:ascii="仿宋_GB2312" w:eastAsia="仿宋_GB2312" w:hAnsi="仿宋" w:cs="仿宋_GB2312" w:hint="eastAsia"/>
          <w:sz w:val="32"/>
          <w:szCs w:val="32"/>
        </w:rPr>
        <w:t>年底，全省已建设小型乘用车快速充电桩约</w:t>
      </w:r>
      <w:r w:rsidRPr="0025459A">
        <w:rPr>
          <w:rFonts w:ascii="仿宋_GB2312" w:eastAsia="仿宋_GB2312" w:hAnsi="仿宋" w:cs="仿宋_GB2312"/>
          <w:sz w:val="32"/>
          <w:szCs w:val="32"/>
        </w:rPr>
        <w:t>410</w:t>
      </w:r>
      <w:r w:rsidRPr="0025459A">
        <w:rPr>
          <w:rFonts w:ascii="仿宋_GB2312" w:eastAsia="仿宋_GB2312" w:hAnsi="仿宋" w:cs="仿宋_GB2312" w:hint="eastAsia"/>
          <w:sz w:val="32"/>
          <w:szCs w:val="32"/>
        </w:rPr>
        <w:t>个、慢充桩</w:t>
      </w:r>
      <w:r w:rsidRPr="0025459A">
        <w:rPr>
          <w:rFonts w:ascii="仿宋_GB2312" w:eastAsia="仿宋_GB2312" w:hAnsi="仿宋" w:cs="仿宋_GB2312"/>
          <w:sz w:val="32"/>
          <w:szCs w:val="32"/>
        </w:rPr>
        <w:t>900</w:t>
      </w:r>
      <w:r w:rsidRPr="0025459A">
        <w:rPr>
          <w:rFonts w:ascii="仿宋_GB2312" w:eastAsia="仿宋_GB2312" w:hAnsi="仿宋" w:cs="仿宋_GB2312" w:hint="eastAsia"/>
          <w:sz w:val="32"/>
          <w:szCs w:val="32"/>
        </w:rPr>
        <w:t>个，其中快速充电桩中</w:t>
      </w:r>
      <w:r w:rsidRPr="0025459A">
        <w:rPr>
          <w:rFonts w:ascii="仿宋_GB2312" w:eastAsia="仿宋_GB2312" w:hAnsi="仿宋" w:cs="仿宋_GB2312"/>
          <w:sz w:val="32"/>
          <w:szCs w:val="32"/>
        </w:rPr>
        <w:t>40%</w:t>
      </w:r>
      <w:r w:rsidRPr="0025459A">
        <w:rPr>
          <w:rFonts w:ascii="仿宋_GB2312" w:eastAsia="仿宋_GB2312" w:hAnsi="仿宋" w:cs="仿宋_GB2312" w:hint="eastAsia"/>
          <w:sz w:val="32"/>
          <w:szCs w:val="32"/>
        </w:rPr>
        <w:t>左右为公共充电桩，</w:t>
      </w:r>
      <w:r w:rsidRPr="0025459A">
        <w:rPr>
          <w:rFonts w:ascii="仿宋_GB2312" w:eastAsia="仿宋_GB2312" w:hAnsi="仿宋" w:cs="仿宋_GB2312"/>
          <w:sz w:val="32"/>
          <w:szCs w:val="32"/>
        </w:rPr>
        <w:t>50%</w:t>
      </w:r>
      <w:r w:rsidRPr="0025459A">
        <w:rPr>
          <w:rFonts w:ascii="仿宋_GB2312" w:eastAsia="仿宋_GB2312" w:hAnsi="仿宋" w:cs="仿宋_GB2312" w:hint="eastAsia"/>
          <w:sz w:val="32"/>
          <w:szCs w:val="32"/>
        </w:rPr>
        <w:t>为内部停车场充电桩；已建公交客车充电站</w:t>
      </w:r>
      <w:r w:rsidRPr="0025459A">
        <w:rPr>
          <w:rFonts w:ascii="仿宋_GB2312" w:eastAsia="仿宋_GB2312" w:hAnsi="仿宋" w:cs="仿宋_GB2312"/>
          <w:sz w:val="32"/>
          <w:szCs w:val="32"/>
        </w:rPr>
        <w:t>19</w:t>
      </w:r>
      <w:r w:rsidRPr="0025459A">
        <w:rPr>
          <w:rFonts w:ascii="仿宋_GB2312" w:eastAsia="仿宋_GB2312" w:hAnsi="仿宋" w:cs="仿宋_GB2312" w:hint="eastAsia"/>
          <w:sz w:val="32"/>
          <w:szCs w:val="32"/>
        </w:rPr>
        <w:t>座，出租车充换电站</w:t>
      </w:r>
      <w:r w:rsidRPr="0025459A">
        <w:rPr>
          <w:rFonts w:ascii="仿宋_GB2312" w:eastAsia="仿宋_GB2312" w:hAnsi="仿宋" w:cs="仿宋_GB2312"/>
          <w:sz w:val="32"/>
          <w:szCs w:val="32"/>
        </w:rPr>
        <w:t>18</w:t>
      </w:r>
      <w:r w:rsidRPr="0025459A">
        <w:rPr>
          <w:rFonts w:ascii="仿宋_GB2312" w:eastAsia="仿宋_GB2312" w:hAnsi="仿宋" w:cs="仿宋_GB2312" w:hint="eastAsia"/>
          <w:sz w:val="32"/>
          <w:szCs w:val="32"/>
        </w:rPr>
        <w:t>座。还有一批充电基础设施在建，主要集中在城际快充站及公交专用充电站。福建省首批</w:t>
      </w:r>
      <w:r w:rsidRPr="0025459A">
        <w:rPr>
          <w:rFonts w:ascii="仿宋_GB2312" w:eastAsia="仿宋_GB2312" w:hAnsi="仿宋" w:cs="仿宋_GB2312"/>
          <w:sz w:val="32"/>
          <w:szCs w:val="32"/>
        </w:rPr>
        <w:t>56</w:t>
      </w:r>
      <w:r w:rsidRPr="0025459A">
        <w:rPr>
          <w:rFonts w:ascii="仿宋_GB2312" w:eastAsia="仿宋_GB2312" w:hAnsi="仿宋" w:cs="仿宋_GB2312" w:hint="eastAsia"/>
          <w:sz w:val="32"/>
          <w:szCs w:val="32"/>
        </w:rPr>
        <w:t>座城际快充站正由省电力公司投资建设，布局在沈海、福银、京台等高速公路福建境内的</w:t>
      </w:r>
      <w:r w:rsidRPr="0025459A">
        <w:rPr>
          <w:rFonts w:ascii="仿宋_GB2312" w:eastAsia="仿宋_GB2312" w:hAnsi="仿宋" w:cs="仿宋_GB2312"/>
          <w:sz w:val="32"/>
          <w:szCs w:val="32"/>
        </w:rPr>
        <w:t>28</w:t>
      </w:r>
      <w:r w:rsidRPr="0025459A">
        <w:rPr>
          <w:rFonts w:ascii="仿宋_GB2312" w:eastAsia="仿宋_GB2312" w:hAnsi="仿宋" w:cs="仿宋_GB2312" w:hint="eastAsia"/>
          <w:sz w:val="32"/>
          <w:szCs w:val="32"/>
        </w:rPr>
        <w:t>对主要服务区，其中，福州</w:t>
      </w:r>
      <w:r w:rsidRPr="0025459A">
        <w:rPr>
          <w:rFonts w:ascii="仿宋_GB2312" w:eastAsia="仿宋_GB2312" w:hAnsi="仿宋" w:cs="仿宋_GB2312"/>
          <w:sz w:val="32"/>
          <w:szCs w:val="32"/>
        </w:rPr>
        <w:t>5</w:t>
      </w:r>
      <w:r w:rsidRPr="0025459A">
        <w:rPr>
          <w:rFonts w:ascii="仿宋_GB2312" w:eastAsia="仿宋_GB2312" w:hAnsi="仿宋" w:cs="仿宋_GB2312" w:hint="eastAsia"/>
          <w:sz w:val="32"/>
          <w:szCs w:val="32"/>
        </w:rPr>
        <w:t>对、莆田</w:t>
      </w:r>
      <w:r w:rsidRPr="0025459A">
        <w:rPr>
          <w:rFonts w:ascii="仿宋_GB2312" w:eastAsia="仿宋_GB2312" w:hAnsi="仿宋" w:cs="仿宋_GB2312"/>
          <w:sz w:val="32"/>
          <w:szCs w:val="32"/>
        </w:rPr>
        <w:t>2</w:t>
      </w:r>
      <w:r w:rsidRPr="0025459A">
        <w:rPr>
          <w:rFonts w:ascii="仿宋_GB2312" w:eastAsia="仿宋_GB2312" w:hAnsi="仿宋" w:cs="仿宋_GB2312" w:hint="eastAsia"/>
          <w:sz w:val="32"/>
          <w:szCs w:val="32"/>
        </w:rPr>
        <w:t>对、泉州</w:t>
      </w:r>
      <w:r w:rsidRPr="0025459A">
        <w:rPr>
          <w:rFonts w:ascii="仿宋_GB2312" w:eastAsia="仿宋_GB2312" w:hAnsi="仿宋" w:cs="仿宋_GB2312"/>
          <w:sz w:val="32"/>
          <w:szCs w:val="32"/>
        </w:rPr>
        <w:t>3</w:t>
      </w:r>
      <w:r w:rsidRPr="0025459A">
        <w:rPr>
          <w:rFonts w:ascii="仿宋_GB2312" w:eastAsia="仿宋_GB2312" w:hAnsi="仿宋" w:cs="仿宋_GB2312" w:hint="eastAsia"/>
          <w:sz w:val="32"/>
          <w:szCs w:val="32"/>
        </w:rPr>
        <w:t>对、厦门</w:t>
      </w:r>
      <w:r w:rsidRPr="0025459A">
        <w:rPr>
          <w:rFonts w:ascii="仿宋_GB2312" w:eastAsia="仿宋_GB2312" w:hAnsi="仿宋" w:cs="仿宋_GB2312"/>
          <w:sz w:val="32"/>
          <w:szCs w:val="32"/>
        </w:rPr>
        <w:t>1</w:t>
      </w:r>
      <w:r w:rsidRPr="0025459A">
        <w:rPr>
          <w:rFonts w:ascii="仿宋_GB2312" w:eastAsia="仿宋_GB2312" w:hAnsi="仿宋" w:cs="仿宋_GB2312" w:hint="eastAsia"/>
          <w:sz w:val="32"/>
          <w:szCs w:val="32"/>
        </w:rPr>
        <w:t>对、漳州</w:t>
      </w:r>
      <w:r w:rsidRPr="0025459A">
        <w:rPr>
          <w:rFonts w:ascii="仿宋_GB2312" w:eastAsia="仿宋_GB2312" w:hAnsi="仿宋" w:cs="仿宋_GB2312"/>
          <w:sz w:val="32"/>
          <w:szCs w:val="32"/>
        </w:rPr>
        <w:t>4</w:t>
      </w:r>
      <w:r w:rsidRPr="0025459A">
        <w:rPr>
          <w:rFonts w:ascii="仿宋_GB2312" w:eastAsia="仿宋_GB2312" w:hAnsi="仿宋" w:cs="仿宋_GB2312" w:hint="eastAsia"/>
          <w:sz w:val="32"/>
          <w:szCs w:val="32"/>
        </w:rPr>
        <w:t>对、三明</w:t>
      </w:r>
      <w:r w:rsidRPr="0025459A">
        <w:rPr>
          <w:rFonts w:ascii="仿宋_GB2312" w:eastAsia="仿宋_GB2312" w:hAnsi="仿宋" w:cs="仿宋_GB2312"/>
          <w:sz w:val="32"/>
          <w:szCs w:val="32"/>
        </w:rPr>
        <w:t>2</w:t>
      </w:r>
      <w:r w:rsidRPr="0025459A">
        <w:rPr>
          <w:rFonts w:ascii="仿宋_GB2312" w:eastAsia="仿宋_GB2312" w:hAnsi="仿宋" w:cs="仿宋_GB2312" w:hint="eastAsia"/>
          <w:sz w:val="32"/>
          <w:szCs w:val="32"/>
        </w:rPr>
        <w:t>对、南平</w:t>
      </w:r>
      <w:r w:rsidRPr="0025459A">
        <w:rPr>
          <w:rFonts w:ascii="仿宋_GB2312" w:eastAsia="仿宋_GB2312" w:hAnsi="仿宋" w:cs="仿宋_GB2312"/>
          <w:sz w:val="32"/>
          <w:szCs w:val="32"/>
        </w:rPr>
        <w:t>7</w:t>
      </w:r>
      <w:r w:rsidRPr="0025459A">
        <w:rPr>
          <w:rFonts w:ascii="仿宋_GB2312" w:eastAsia="仿宋_GB2312" w:hAnsi="仿宋" w:cs="仿宋_GB2312" w:hint="eastAsia"/>
          <w:sz w:val="32"/>
          <w:szCs w:val="32"/>
        </w:rPr>
        <w:t>对以及宁德</w:t>
      </w:r>
      <w:r w:rsidRPr="0025459A">
        <w:rPr>
          <w:rFonts w:ascii="仿宋_GB2312" w:eastAsia="仿宋_GB2312" w:hAnsi="仿宋" w:cs="仿宋_GB2312"/>
          <w:sz w:val="32"/>
          <w:szCs w:val="32"/>
        </w:rPr>
        <w:t>4</w:t>
      </w:r>
      <w:r w:rsidRPr="0025459A">
        <w:rPr>
          <w:rFonts w:ascii="仿宋_GB2312" w:eastAsia="仿宋_GB2312" w:hAnsi="仿宋" w:cs="仿宋_GB2312" w:hint="eastAsia"/>
          <w:sz w:val="32"/>
          <w:szCs w:val="32"/>
        </w:rPr>
        <w:t>对。各设区市及平潭综合实验区公交公司均在进一步推进自用充电站的建设。同时，还有一定数量随车附赠安装的私人电动汽车充电桩在自发建设中。</w:t>
      </w:r>
    </w:p>
    <w:p w:rsidR="00291E4B" w:rsidRPr="0025459A" w:rsidRDefault="00291E4B" w:rsidP="006F6AE2">
      <w:pPr>
        <w:tabs>
          <w:tab w:val="num" w:pos="0"/>
        </w:tabs>
        <w:spacing w:line="360" w:lineRule="auto"/>
        <w:ind w:firstLineChars="200" w:firstLine="31680"/>
        <w:rPr>
          <w:rFonts w:ascii="仿宋_GB2312" w:eastAsia="仿宋_GB2312" w:hAnsi="仿宋"/>
          <w:sz w:val="32"/>
          <w:szCs w:val="32"/>
        </w:rPr>
      </w:pPr>
      <w:r w:rsidRPr="0025459A">
        <w:rPr>
          <w:rFonts w:ascii="仿宋_GB2312" w:eastAsia="仿宋_GB2312" w:hAnsi="仿宋" w:cs="仿宋_GB2312" w:hint="eastAsia"/>
          <w:sz w:val="32"/>
          <w:szCs w:val="32"/>
        </w:rPr>
        <w:t>二、福州市充电设施建设现状</w:t>
      </w:r>
    </w:p>
    <w:p w:rsidR="00291E4B" w:rsidRPr="0025459A" w:rsidRDefault="00291E4B" w:rsidP="006F6AE2">
      <w:pPr>
        <w:tabs>
          <w:tab w:val="num" w:pos="0"/>
        </w:tabs>
        <w:spacing w:line="360" w:lineRule="auto"/>
        <w:ind w:firstLineChars="200" w:firstLine="31680"/>
        <w:rPr>
          <w:rFonts w:ascii="仿宋_GB2312" w:eastAsia="仿宋_GB2312" w:hAnsi="仿宋"/>
          <w:sz w:val="32"/>
          <w:szCs w:val="32"/>
        </w:rPr>
      </w:pPr>
      <w:r w:rsidRPr="0025459A">
        <w:rPr>
          <w:rFonts w:ascii="仿宋_GB2312" w:eastAsia="仿宋_GB2312" w:hAnsi="仿宋" w:cs="仿宋_GB2312" w:hint="eastAsia"/>
          <w:sz w:val="32"/>
          <w:szCs w:val="32"/>
        </w:rPr>
        <w:t>目前，福州中心城区共有</w:t>
      </w:r>
      <w:r w:rsidRPr="0025459A">
        <w:rPr>
          <w:rFonts w:ascii="仿宋_GB2312" w:eastAsia="仿宋_GB2312" w:hAnsi="仿宋" w:cs="仿宋_GB2312"/>
          <w:sz w:val="32"/>
          <w:szCs w:val="32"/>
        </w:rPr>
        <w:t>19</w:t>
      </w:r>
      <w:r w:rsidRPr="0025459A">
        <w:rPr>
          <w:rFonts w:ascii="仿宋_GB2312" w:eastAsia="仿宋_GB2312" w:hAnsi="仿宋" w:cs="仿宋_GB2312" w:hint="eastAsia"/>
          <w:sz w:val="32"/>
          <w:szCs w:val="32"/>
        </w:rPr>
        <w:t>个公交及公共集中式充电站（桩数大于等于</w:t>
      </w:r>
      <w:r w:rsidRPr="0025459A">
        <w:rPr>
          <w:rFonts w:ascii="仿宋_GB2312" w:eastAsia="仿宋_GB2312" w:hAnsi="仿宋" w:cs="仿宋_GB2312"/>
          <w:sz w:val="32"/>
          <w:szCs w:val="32"/>
        </w:rPr>
        <w:t>4</w:t>
      </w:r>
      <w:r w:rsidRPr="0025459A">
        <w:rPr>
          <w:rFonts w:ascii="仿宋_GB2312" w:eastAsia="仿宋_GB2312" w:hAnsi="仿宋" w:cs="仿宋_GB2312" w:hint="eastAsia"/>
          <w:sz w:val="32"/>
          <w:szCs w:val="32"/>
        </w:rPr>
        <w:t>个），公交及公共充电桩约</w:t>
      </w:r>
      <w:r w:rsidRPr="0025459A">
        <w:rPr>
          <w:rFonts w:ascii="仿宋_GB2312" w:eastAsia="仿宋_GB2312" w:hAnsi="仿宋" w:cs="仿宋_GB2312"/>
          <w:sz w:val="32"/>
          <w:szCs w:val="32"/>
        </w:rPr>
        <w:t>160</w:t>
      </w:r>
      <w:r w:rsidRPr="0025459A">
        <w:rPr>
          <w:rFonts w:ascii="仿宋_GB2312" w:eastAsia="仿宋_GB2312" w:hAnsi="仿宋" w:cs="仿宋_GB2312" w:hint="eastAsia"/>
          <w:sz w:val="32"/>
          <w:szCs w:val="32"/>
        </w:rPr>
        <w:t>个，其中交流慢充桩</w:t>
      </w:r>
      <w:r w:rsidRPr="0025459A">
        <w:rPr>
          <w:rFonts w:ascii="仿宋_GB2312" w:eastAsia="仿宋_GB2312" w:hAnsi="仿宋" w:cs="仿宋_GB2312"/>
          <w:sz w:val="32"/>
          <w:szCs w:val="32"/>
        </w:rPr>
        <w:t>85</w:t>
      </w:r>
      <w:r w:rsidRPr="0025459A">
        <w:rPr>
          <w:rFonts w:ascii="仿宋_GB2312" w:eastAsia="仿宋_GB2312" w:hAnsi="仿宋" w:cs="仿宋_GB2312" w:hint="eastAsia"/>
          <w:sz w:val="32"/>
          <w:szCs w:val="32"/>
        </w:rPr>
        <w:t>个，直流快充桩</w:t>
      </w:r>
      <w:r w:rsidRPr="0025459A">
        <w:rPr>
          <w:rFonts w:ascii="仿宋_GB2312" w:eastAsia="仿宋_GB2312" w:hAnsi="仿宋" w:cs="仿宋_GB2312"/>
          <w:sz w:val="32"/>
          <w:szCs w:val="32"/>
        </w:rPr>
        <w:t>69</w:t>
      </w:r>
      <w:r w:rsidRPr="0025459A">
        <w:rPr>
          <w:rFonts w:ascii="仿宋_GB2312" w:eastAsia="仿宋_GB2312" w:hAnsi="仿宋" w:cs="仿宋_GB2312" w:hint="eastAsia"/>
          <w:sz w:val="32"/>
          <w:szCs w:val="32"/>
        </w:rPr>
        <w:t>个。直流快充桩主要分布在公交专用充电站。另外还有部分随车附赠的私人充电桩自发建设中。</w:t>
      </w:r>
    </w:p>
    <w:p w:rsidR="00291E4B" w:rsidRPr="0025459A" w:rsidRDefault="00291E4B" w:rsidP="006C7A66">
      <w:pPr>
        <w:pStyle w:val="Heading1"/>
        <w:jc w:val="center"/>
        <w:rPr>
          <w:rFonts w:ascii="黑体" w:eastAsia="黑体"/>
          <w:sz w:val="32"/>
          <w:szCs w:val="32"/>
        </w:rPr>
      </w:pPr>
      <w:bookmarkStart w:id="7" w:name="_Toc457377763"/>
      <w:bookmarkStart w:id="8" w:name="_Toc457377856"/>
      <w:bookmarkStart w:id="9" w:name="_Toc457805727"/>
      <w:bookmarkStart w:id="10" w:name="_Toc457377764"/>
      <w:bookmarkStart w:id="11" w:name="_Toc457377857"/>
      <w:bookmarkStart w:id="12" w:name="_Toc457805728"/>
      <w:bookmarkStart w:id="13" w:name="_Toc457377765"/>
      <w:bookmarkStart w:id="14" w:name="_Toc457377858"/>
      <w:bookmarkStart w:id="15" w:name="_Toc457805729"/>
      <w:bookmarkStart w:id="16" w:name="_Toc457377766"/>
      <w:bookmarkStart w:id="17" w:name="_Toc457377859"/>
      <w:bookmarkStart w:id="18" w:name="_Toc457805730"/>
      <w:bookmarkStart w:id="19" w:name="_Toc457377767"/>
      <w:bookmarkStart w:id="20" w:name="_Toc457377860"/>
      <w:bookmarkStart w:id="21" w:name="_Toc457805731"/>
      <w:bookmarkStart w:id="22" w:name="_Toc457377768"/>
      <w:bookmarkStart w:id="23" w:name="_Toc457377861"/>
      <w:bookmarkStart w:id="24" w:name="_Toc457805732"/>
      <w:bookmarkStart w:id="25" w:name="_Toc457377769"/>
      <w:bookmarkStart w:id="26" w:name="_Toc457377862"/>
      <w:bookmarkStart w:id="27" w:name="_Toc457805733"/>
      <w:bookmarkStart w:id="28" w:name="_Toc457377770"/>
      <w:bookmarkStart w:id="29" w:name="_Toc457377863"/>
      <w:bookmarkStart w:id="30" w:name="_Toc457805734"/>
      <w:bookmarkStart w:id="31" w:name="_Toc457377771"/>
      <w:bookmarkStart w:id="32" w:name="_Toc457377864"/>
      <w:bookmarkStart w:id="33" w:name="_Toc457805735"/>
      <w:bookmarkStart w:id="34" w:name="_Toc457377772"/>
      <w:bookmarkStart w:id="35" w:name="_Toc457377865"/>
      <w:bookmarkStart w:id="36" w:name="_Toc457805736"/>
      <w:bookmarkStart w:id="37" w:name="_Toc457377773"/>
      <w:bookmarkStart w:id="38" w:name="_Toc457377866"/>
      <w:bookmarkStart w:id="39" w:name="_Toc457805737"/>
      <w:bookmarkStart w:id="40" w:name="_Toc457377774"/>
      <w:bookmarkStart w:id="41" w:name="_Toc457377867"/>
      <w:bookmarkStart w:id="42" w:name="_Toc457805738"/>
      <w:bookmarkStart w:id="43" w:name="_Toc457805747"/>
      <w:bookmarkStart w:id="44" w:name="_Toc457805748"/>
      <w:bookmarkStart w:id="45" w:name="_Toc457805749"/>
      <w:bookmarkStart w:id="46" w:name="_Toc457805750"/>
      <w:bookmarkStart w:id="47" w:name="_Toc457805751"/>
      <w:bookmarkStart w:id="48" w:name="_Toc457805752"/>
      <w:bookmarkStart w:id="49" w:name="_Toc457805753"/>
      <w:bookmarkStart w:id="50" w:name="_Toc457805754"/>
      <w:bookmarkStart w:id="51" w:name="_Toc457805755"/>
      <w:bookmarkStart w:id="52" w:name="_Toc457805756"/>
      <w:bookmarkStart w:id="53" w:name="_Toc457805757"/>
      <w:bookmarkStart w:id="54" w:name="_Toc457805758"/>
      <w:bookmarkStart w:id="55" w:name="_Toc457805759"/>
      <w:bookmarkStart w:id="56" w:name="_Toc457805760"/>
      <w:bookmarkStart w:id="57" w:name="_Toc457805761"/>
      <w:bookmarkStart w:id="58" w:name="_Toc457805762"/>
      <w:bookmarkStart w:id="59" w:name="_Toc457805763"/>
      <w:bookmarkStart w:id="60" w:name="_Toc457805764"/>
      <w:bookmarkStart w:id="61" w:name="_Toc457805765"/>
      <w:bookmarkStart w:id="62" w:name="_Toc457805766"/>
      <w:bookmarkStart w:id="63" w:name="_Toc457805767"/>
      <w:bookmarkStart w:id="64" w:name="_Toc457805768"/>
      <w:bookmarkStart w:id="65" w:name="_Toc4626436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F35EC">
        <w:rPr>
          <w:rFonts w:ascii="黑体" w:eastAsia="黑体" w:cs="黑体" w:hint="eastAsia"/>
          <w:sz w:val="32"/>
          <w:szCs w:val="32"/>
        </w:rPr>
        <w:t>充电基础设施发展需求预测</w:t>
      </w:r>
      <w:bookmarkEnd w:id="65"/>
    </w:p>
    <w:p w:rsidR="00291E4B" w:rsidRPr="0025459A" w:rsidRDefault="00291E4B" w:rsidP="00D20582">
      <w:pPr>
        <w:pStyle w:val="Heading2"/>
        <w:rPr>
          <w:rFonts w:cs="Times New Roman"/>
        </w:rPr>
      </w:pPr>
      <w:r w:rsidRPr="009F35EC">
        <w:t xml:space="preserve">  </w:t>
      </w:r>
      <w:bookmarkStart w:id="66" w:name="_Ref457383792"/>
      <w:bookmarkStart w:id="67" w:name="_Toc462643629"/>
      <w:r w:rsidRPr="009F35EC">
        <w:rPr>
          <w:rFonts w:cs="黑体" w:hint="eastAsia"/>
        </w:rPr>
        <w:t>电动汽车发展预测</w:t>
      </w:r>
      <w:bookmarkEnd w:id="66"/>
      <w:bookmarkEnd w:id="67"/>
    </w:p>
    <w:p w:rsidR="00291E4B" w:rsidRPr="0025459A" w:rsidRDefault="00291E4B" w:rsidP="006F6AE2">
      <w:pPr>
        <w:spacing w:line="360" w:lineRule="auto"/>
        <w:ind w:firstLineChars="200" w:firstLine="31680"/>
        <w:rPr>
          <w:rFonts w:ascii="仿宋_GB2312" w:eastAsia="仿宋_GB2312"/>
          <w:b/>
          <w:bCs/>
          <w:sz w:val="32"/>
          <w:szCs w:val="32"/>
        </w:rPr>
      </w:pPr>
      <w:r>
        <w:rPr>
          <w:rFonts w:ascii="仿宋_GB2312" w:eastAsia="仿宋_GB2312" w:hAnsi="仿宋" w:cs="仿宋_GB2312" w:hint="eastAsia"/>
          <w:sz w:val="32"/>
          <w:szCs w:val="32"/>
        </w:rPr>
        <w:t>《福建省“十三五”充电基础设施专项规划》提出，</w:t>
      </w:r>
      <w:r>
        <w:rPr>
          <w:rFonts w:ascii="仿宋_GB2312" w:eastAsia="仿宋_GB2312" w:cs="仿宋_GB2312" w:hint="eastAsia"/>
          <w:sz w:val="32"/>
          <w:szCs w:val="32"/>
        </w:rPr>
        <w:t>至</w:t>
      </w:r>
      <w:r>
        <w:rPr>
          <w:rFonts w:ascii="仿宋_GB2312" w:eastAsia="仿宋_GB2312" w:cs="仿宋_GB2312"/>
          <w:sz w:val="32"/>
          <w:szCs w:val="32"/>
        </w:rPr>
        <w:t>2020</w:t>
      </w:r>
      <w:r>
        <w:rPr>
          <w:rFonts w:ascii="仿宋_GB2312" w:eastAsia="仿宋_GB2312" w:cs="仿宋_GB2312" w:hint="eastAsia"/>
          <w:sz w:val="32"/>
          <w:szCs w:val="32"/>
        </w:rPr>
        <w:t>年福建省电动汽车发展目标为</w:t>
      </w:r>
      <w:r>
        <w:rPr>
          <w:rFonts w:ascii="仿宋_GB2312" w:eastAsia="仿宋_GB2312" w:cs="仿宋_GB2312"/>
          <w:sz w:val="32"/>
          <w:szCs w:val="32"/>
        </w:rPr>
        <w:t>10</w:t>
      </w:r>
      <w:r>
        <w:rPr>
          <w:rFonts w:ascii="仿宋_GB2312" w:eastAsia="仿宋_GB2312" w:cs="仿宋_GB2312" w:hint="eastAsia"/>
          <w:sz w:val="32"/>
          <w:szCs w:val="32"/>
        </w:rPr>
        <w:t>～</w:t>
      </w:r>
      <w:r>
        <w:rPr>
          <w:rFonts w:ascii="仿宋_GB2312" w:eastAsia="仿宋_GB2312" w:cs="仿宋_GB2312"/>
          <w:sz w:val="32"/>
          <w:szCs w:val="32"/>
        </w:rPr>
        <w:t>13</w:t>
      </w:r>
      <w:r>
        <w:rPr>
          <w:rFonts w:ascii="仿宋_GB2312" w:eastAsia="仿宋_GB2312" w:cs="仿宋_GB2312" w:hint="eastAsia"/>
          <w:sz w:val="32"/>
          <w:szCs w:val="32"/>
        </w:rPr>
        <w:t>万辆</w:t>
      </w:r>
      <w:r>
        <w:rPr>
          <w:rFonts w:ascii="仿宋_GB2312" w:eastAsia="仿宋_GB2312" w:cs="仿宋_GB2312"/>
          <w:sz w:val="32"/>
          <w:szCs w:val="32"/>
        </w:rPr>
        <w:t>,</w:t>
      </w:r>
      <w:r>
        <w:rPr>
          <w:rFonts w:ascii="仿宋_GB2312" w:eastAsia="仿宋_GB2312" w:cs="仿宋_GB2312" w:hint="eastAsia"/>
          <w:sz w:val="32"/>
          <w:szCs w:val="32"/>
        </w:rPr>
        <w:t>其中公交、出租和环卫、物流与公安巡逻等公共服务领域电动汽车数量合计约</w:t>
      </w:r>
      <w:r>
        <w:rPr>
          <w:rFonts w:ascii="仿宋_GB2312" w:eastAsia="仿宋_GB2312" w:cs="仿宋_GB2312"/>
          <w:sz w:val="32"/>
          <w:szCs w:val="32"/>
        </w:rPr>
        <w:t>1.6</w:t>
      </w:r>
      <w:r>
        <w:rPr>
          <w:rFonts w:ascii="仿宋_GB2312" w:eastAsia="仿宋_GB2312" w:cs="仿宋_GB2312" w:hint="eastAsia"/>
          <w:sz w:val="32"/>
          <w:szCs w:val="32"/>
        </w:rPr>
        <w:t>万辆，公务车及私人乘用车中电动汽车数量约</w:t>
      </w:r>
      <w:r>
        <w:rPr>
          <w:rFonts w:ascii="仿宋_GB2312" w:eastAsia="仿宋_GB2312" w:cs="仿宋_GB2312"/>
          <w:sz w:val="32"/>
          <w:szCs w:val="32"/>
        </w:rPr>
        <w:t>8.4</w:t>
      </w:r>
      <w:r>
        <w:rPr>
          <w:rFonts w:ascii="仿宋_GB2312" w:eastAsia="仿宋_GB2312" w:cs="仿宋_GB2312" w:hint="eastAsia"/>
          <w:sz w:val="32"/>
          <w:szCs w:val="32"/>
        </w:rPr>
        <w:t>～</w:t>
      </w:r>
      <w:r>
        <w:rPr>
          <w:rFonts w:ascii="仿宋_GB2312" w:eastAsia="仿宋_GB2312" w:cs="仿宋_GB2312"/>
          <w:sz w:val="32"/>
          <w:szCs w:val="32"/>
        </w:rPr>
        <w:t>11</w:t>
      </w:r>
      <w:r>
        <w:rPr>
          <w:rFonts w:ascii="仿宋_GB2312" w:eastAsia="仿宋_GB2312" w:cs="仿宋_GB2312" w:hint="eastAsia"/>
          <w:sz w:val="32"/>
          <w:szCs w:val="32"/>
        </w:rPr>
        <w:t>万辆（占保有量比例</w:t>
      </w:r>
      <w:r>
        <w:rPr>
          <w:rFonts w:ascii="仿宋_GB2312" w:eastAsia="仿宋_GB2312" w:cs="仿宋_GB2312"/>
          <w:sz w:val="32"/>
          <w:szCs w:val="32"/>
        </w:rPr>
        <w:t>1.6</w:t>
      </w: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w:t>
      </w:r>
    </w:p>
    <w:p w:rsidR="00291E4B" w:rsidRPr="0025459A" w:rsidRDefault="00291E4B" w:rsidP="009E25FD">
      <w:pPr>
        <w:tabs>
          <w:tab w:val="left" w:pos="1274"/>
        </w:tabs>
        <w:spacing w:line="360" w:lineRule="auto"/>
        <w:jc w:val="center"/>
        <w:rPr>
          <w:rFonts w:ascii="仿宋_GB2312" w:eastAsia="仿宋_GB2312"/>
          <w:sz w:val="30"/>
          <w:szCs w:val="30"/>
        </w:rPr>
      </w:pPr>
      <w:r>
        <w:rPr>
          <w:rFonts w:ascii="仿宋_GB2312" w:eastAsia="仿宋_GB2312" w:cs="仿宋_GB2312" w:hint="eastAsia"/>
          <w:sz w:val="30"/>
          <w:szCs w:val="30"/>
        </w:rPr>
        <w:t>表</w:t>
      </w:r>
      <w:r>
        <w:rPr>
          <w:rFonts w:ascii="仿宋_GB2312" w:eastAsia="仿宋_GB2312" w:cs="仿宋_GB2312"/>
          <w:sz w:val="30"/>
          <w:szCs w:val="30"/>
        </w:rPr>
        <w:fldChar w:fldCharType="begin"/>
      </w:r>
      <w:r>
        <w:rPr>
          <w:rFonts w:ascii="仿宋_GB2312" w:eastAsia="仿宋_GB2312" w:cs="仿宋_GB2312"/>
          <w:sz w:val="30"/>
          <w:szCs w:val="30"/>
        </w:rPr>
        <w:instrText xml:space="preserve"> REF _Ref457383792 \r \h </w:instrText>
      </w:r>
      <w:r w:rsidRPr="00725AC9">
        <w:rPr>
          <w:rFonts w:ascii="仿宋_GB2312" w:eastAsia="仿宋_GB2312"/>
          <w:sz w:val="30"/>
          <w:szCs w:val="30"/>
        </w:rPr>
      </w:r>
      <w:r>
        <w:rPr>
          <w:rFonts w:ascii="仿宋_GB2312" w:eastAsia="仿宋_GB2312" w:cs="仿宋_GB2312"/>
          <w:sz w:val="30"/>
          <w:szCs w:val="30"/>
        </w:rPr>
        <w:fldChar w:fldCharType="separate"/>
      </w:r>
      <w:r>
        <w:rPr>
          <w:rFonts w:ascii="仿宋_GB2312" w:eastAsia="仿宋_GB2312" w:cs="仿宋_GB2312"/>
          <w:sz w:val="30"/>
          <w:szCs w:val="30"/>
        </w:rPr>
        <w:t>3.1</w:t>
      </w:r>
      <w:r>
        <w:rPr>
          <w:rFonts w:ascii="仿宋_GB2312" w:eastAsia="仿宋_GB2312" w:cs="仿宋_GB2312"/>
          <w:sz w:val="30"/>
          <w:szCs w:val="30"/>
        </w:rPr>
        <w:fldChar w:fldCharType="end"/>
      </w:r>
      <w:r>
        <w:rPr>
          <w:rFonts w:ascii="仿宋_GB2312" w:eastAsia="仿宋_GB2312" w:cs="仿宋_GB2312"/>
          <w:sz w:val="30"/>
          <w:szCs w:val="30"/>
        </w:rPr>
        <w:t xml:space="preserve">-1   </w:t>
      </w:r>
      <w:r>
        <w:rPr>
          <w:rFonts w:ascii="仿宋_GB2312" w:eastAsia="仿宋_GB2312" w:cs="仿宋_GB2312" w:hint="eastAsia"/>
          <w:sz w:val="30"/>
          <w:szCs w:val="30"/>
        </w:rPr>
        <w:t>至</w:t>
      </w:r>
      <w:r>
        <w:rPr>
          <w:rFonts w:ascii="仿宋_GB2312" w:eastAsia="仿宋_GB2312" w:cs="仿宋_GB2312"/>
          <w:sz w:val="30"/>
          <w:szCs w:val="30"/>
        </w:rPr>
        <w:t>2020</w:t>
      </w:r>
      <w:r>
        <w:rPr>
          <w:rFonts w:ascii="仿宋_GB2312" w:eastAsia="仿宋_GB2312" w:cs="仿宋_GB2312" w:hint="eastAsia"/>
          <w:sz w:val="30"/>
          <w:szCs w:val="30"/>
        </w:rPr>
        <w:t>年各分类电动汽车发展规模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6"/>
        <w:gridCol w:w="4369"/>
      </w:tblGrid>
      <w:tr w:rsidR="00291E4B" w:rsidRPr="0025459A">
        <w:trPr>
          <w:trHeight w:val="344"/>
          <w:jc w:val="center"/>
        </w:trPr>
        <w:tc>
          <w:tcPr>
            <w:tcW w:w="2810" w:type="pct"/>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sz w:val="28"/>
                <w:szCs w:val="28"/>
              </w:rPr>
            </w:pPr>
            <w:bookmarkStart w:id="68" w:name="OLE_LINK2"/>
            <w:bookmarkStart w:id="69" w:name="OLE_LINK4"/>
            <w:r w:rsidRPr="009F35EC">
              <w:rPr>
                <w:rFonts w:ascii="仿宋_GB2312" w:eastAsia="仿宋_GB2312" w:cs="仿宋_GB2312" w:hint="eastAsia"/>
                <w:kern w:val="24"/>
                <w:sz w:val="28"/>
                <w:szCs w:val="28"/>
              </w:rPr>
              <w:t>类别</w:t>
            </w:r>
          </w:p>
        </w:tc>
        <w:tc>
          <w:tcPr>
            <w:tcW w:w="2190" w:type="pct"/>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sz w:val="28"/>
                <w:szCs w:val="28"/>
              </w:rPr>
            </w:pPr>
            <w:r w:rsidRPr="009F35EC">
              <w:rPr>
                <w:rFonts w:ascii="仿宋_GB2312" w:eastAsia="仿宋_GB2312" w:cs="仿宋_GB2312"/>
                <w:kern w:val="24"/>
                <w:sz w:val="28"/>
                <w:szCs w:val="28"/>
              </w:rPr>
              <w:t>2020</w:t>
            </w:r>
            <w:r w:rsidRPr="009F35EC">
              <w:rPr>
                <w:rFonts w:ascii="仿宋_GB2312" w:eastAsia="仿宋_GB2312" w:cs="仿宋_GB2312" w:hint="eastAsia"/>
                <w:kern w:val="24"/>
                <w:sz w:val="28"/>
                <w:szCs w:val="28"/>
              </w:rPr>
              <w:t>年发展规模</w:t>
            </w:r>
          </w:p>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sz w:val="28"/>
                <w:szCs w:val="28"/>
              </w:rPr>
            </w:pPr>
            <w:r w:rsidRPr="009F35EC">
              <w:rPr>
                <w:rFonts w:ascii="仿宋_GB2312" w:eastAsia="仿宋_GB2312" w:cs="仿宋_GB2312" w:hint="eastAsia"/>
                <w:kern w:val="24"/>
                <w:sz w:val="28"/>
                <w:szCs w:val="28"/>
              </w:rPr>
              <w:t>（万辆）</w:t>
            </w:r>
          </w:p>
        </w:tc>
      </w:tr>
      <w:tr w:rsidR="00291E4B" w:rsidRPr="0025459A">
        <w:trPr>
          <w:trHeight w:val="211"/>
          <w:jc w:val="center"/>
        </w:trPr>
        <w:tc>
          <w:tcPr>
            <w:tcW w:w="2810" w:type="pct"/>
            <w:vAlign w:val="center"/>
          </w:tcPr>
          <w:p w:rsidR="00291E4B" w:rsidRPr="0025459A" w:rsidRDefault="00291E4B" w:rsidP="003927D9">
            <w:pPr>
              <w:widowControl/>
              <w:adjustRightInd w:val="0"/>
              <w:snapToGrid w:val="0"/>
              <w:spacing w:line="240" w:lineRule="atLeast"/>
              <w:jc w:val="center"/>
              <w:textAlignment w:val="center"/>
              <w:rPr>
                <w:rFonts w:ascii="仿宋_GB2312" w:eastAsia="仿宋_GB2312" w:hAnsi="宋体"/>
                <w:kern w:val="24"/>
                <w:sz w:val="28"/>
                <w:szCs w:val="28"/>
              </w:rPr>
            </w:pPr>
            <w:r>
              <w:rPr>
                <w:rFonts w:ascii="仿宋_GB2312" w:eastAsia="仿宋_GB2312" w:hAnsi="宋体" w:cs="仿宋_GB2312" w:hint="eastAsia"/>
                <w:kern w:val="24"/>
                <w:sz w:val="28"/>
                <w:szCs w:val="28"/>
              </w:rPr>
              <w:t>公交车</w:t>
            </w:r>
          </w:p>
        </w:tc>
        <w:tc>
          <w:tcPr>
            <w:tcW w:w="2190" w:type="pct"/>
            <w:vAlign w:val="center"/>
          </w:tcPr>
          <w:p w:rsidR="00291E4B" w:rsidRPr="0025459A" w:rsidRDefault="00291E4B" w:rsidP="003927D9">
            <w:pPr>
              <w:widowControl/>
              <w:adjustRightInd w:val="0"/>
              <w:snapToGrid w:val="0"/>
              <w:spacing w:line="240" w:lineRule="atLeast"/>
              <w:jc w:val="center"/>
              <w:textAlignment w:val="center"/>
              <w:rPr>
                <w:rFonts w:ascii="仿宋_GB2312" w:eastAsia="仿宋_GB2312" w:hAnsi="宋体"/>
                <w:kern w:val="24"/>
                <w:sz w:val="28"/>
                <w:szCs w:val="28"/>
              </w:rPr>
            </w:pPr>
            <w:r>
              <w:rPr>
                <w:rFonts w:ascii="仿宋_GB2312" w:eastAsia="仿宋_GB2312" w:hAnsi="宋体" w:cs="仿宋_GB2312"/>
                <w:kern w:val="24"/>
                <w:sz w:val="28"/>
                <w:szCs w:val="28"/>
              </w:rPr>
              <w:t>0.31</w:t>
            </w:r>
          </w:p>
        </w:tc>
      </w:tr>
      <w:tr w:rsidR="00291E4B" w:rsidRPr="0025459A">
        <w:trPr>
          <w:trHeight w:val="273"/>
          <w:jc w:val="center"/>
        </w:trPr>
        <w:tc>
          <w:tcPr>
            <w:tcW w:w="2810" w:type="pct"/>
            <w:vAlign w:val="center"/>
          </w:tcPr>
          <w:p w:rsidR="00291E4B" w:rsidRPr="0025459A" w:rsidRDefault="00291E4B" w:rsidP="003927D9">
            <w:pPr>
              <w:widowControl/>
              <w:adjustRightInd w:val="0"/>
              <w:snapToGrid w:val="0"/>
              <w:spacing w:line="240" w:lineRule="atLeast"/>
              <w:jc w:val="left"/>
              <w:textAlignment w:val="center"/>
              <w:rPr>
                <w:rFonts w:ascii="仿宋_GB2312" w:eastAsia="仿宋_GB2312" w:hAnsi="宋体"/>
                <w:kern w:val="24"/>
                <w:sz w:val="28"/>
                <w:szCs w:val="28"/>
              </w:rPr>
            </w:pPr>
            <w:r>
              <w:rPr>
                <w:rFonts w:ascii="仿宋_GB2312" w:eastAsia="仿宋_GB2312" w:hAnsi="宋体" w:cs="仿宋_GB2312" w:hint="eastAsia"/>
                <w:kern w:val="24"/>
                <w:sz w:val="28"/>
                <w:szCs w:val="28"/>
              </w:rPr>
              <w:t>乘用车（含公务、出租、私人等）</w:t>
            </w:r>
          </w:p>
        </w:tc>
        <w:tc>
          <w:tcPr>
            <w:tcW w:w="2190" w:type="pct"/>
            <w:vAlign w:val="center"/>
          </w:tcPr>
          <w:p w:rsidR="00291E4B" w:rsidRPr="0025459A" w:rsidRDefault="00291E4B" w:rsidP="003927D9">
            <w:pPr>
              <w:widowControl/>
              <w:adjustRightInd w:val="0"/>
              <w:snapToGrid w:val="0"/>
              <w:spacing w:line="240" w:lineRule="atLeast"/>
              <w:jc w:val="center"/>
              <w:textAlignment w:val="center"/>
              <w:rPr>
                <w:rFonts w:ascii="仿宋_GB2312" w:eastAsia="仿宋_GB2312" w:hAnsi="宋体"/>
                <w:kern w:val="24"/>
                <w:sz w:val="28"/>
                <w:szCs w:val="28"/>
              </w:rPr>
            </w:pPr>
            <w:r>
              <w:rPr>
                <w:rFonts w:ascii="仿宋_GB2312" w:eastAsia="仿宋_GB2312" w:hAnsi="宋体" w:cs="仿宋_GB2312"/>
                <w:kern w:val="24"/>
                <w:sz w:val="28"/>
                <w:szCs w:val="28"/>
              </w:rPr>
              <w:t>2.4</w:t>
            </w:r>
            <w:r>
              <w:rPr>
                <w:rFonts w:ascii="仿宋_GB2312" w:eastAsia="仿宋_GB2312" w:hAnsi="宋体" w:cs="仿宋_GB2312" w:hint="eastAsia"/>
                <w:kern w:val="24"/>
                <w:sz w:val="28"/>
                <w:szCs w:val="28"/>
              </w:rPr>
              <w:t>～</w:t>
            </w:r>
            <w:r>
              <w:rPr>
                <w:rFonts w:ascii="仿宋_GB2312" w:eastAsia="仿宋_GB2312" w:hAnsi="宋体" w:cs="仿宋_GB2312"/>
                <w:kern w:val="24"/>
                <w:sz w:val="28"/>
                <w:szCs w:val="28"/>
              </w:rPr>
              <w:t>3.0</w:t>
            </w:r>
          </w:p>
        </w:tc>
      </w:tr>
      <w:tr w:rsidR="00291E4B" w:rsidRPr="0025459A">
        <w:trPr>
          <w:trHeight w:val="209"/>
          <w:jc w:val="center"/>
        </w:trPr>
        <w:tc>
          <w:tcPr>
            <w:tcW w:w="2810" w:type="pct"/>
            <w:vAlign w:val="center"/>
          </w:tcPr>
          <w:p w:rsidR="00291E4B" w:rsidRPr="0025459A" w:rsidRDefault="00291E4B" w:rsidP="003927D9">
            <w:pPr>
              <w:widowControl/>
              <w:adjustRightInd w:val="0"/>
              <w:snapToGrid w:val="0"/>
              <w:spacing w:line="240" w:lineRule="atLeast"/>
              <w:jc w:val="left"/>
              <w:textAlignment w:val="center"/>
              <w:rPr>
                <w:rFonts w:ascii="仿宋_GB2312" w:eastAsia="仿宋_GB2312" w:hAnsi="宋体"/>
                <w:kern w:val="24"/>
                <w:sz w:val="28"/>
                <w:szCs w:val="28"/>
              </w:rPr>
            </w:pPr>
            <w:r>
              <w:rPr>
                <w:rFonts w:ascii="仿宋_GB2312" w:eastAsia="仿宋_GB2312" w:hAnsi="宋体" w:cs="仿宋_GB2312" w:hint="eastAsia"/>
                <w:kern w:val="24"/>
                <w:sz w:val="28"/>
                <w:szCs w:val="28"/>
              </w:rPr>
              <w:t>专用车</w:t>
            </w:r>
            <w:r>
              <w:rPr>
                <w:rFonts w:ascii="仿宋_GB2312" w:eastAsia="仿宋_GB2312" w:hAnsi="宋体" w:cs="仿宋_GB2312"/>
                <w:kern w:val="24"/>
                <w:sz w:val="28"/>
                <w:szCs w:val="28"/>
              </w:rPr>
              <w:t>(</w:t>
            </w:r>
            <w:r>
              <w:rPr>
                <w:rFonts w:ascii="仿宋_GB2312" w:eastAsia="仿宋_GB2312" w:hAnsi="宋体" w:cs="仿宋_GB2312" w:hint="eastAsia"/>
                <w:kern w:val="24"/>
                <w:sz w:val="28"/>
                <w:szCs w:val="28"/>
              </w:rPr>
              <w:t>含物流、环卫、电力、邮政、旅游、短途客运等</w:t>
            </w:r>
            <w:r>
              <w:rPr>
                <w:rFonts w:ascii="仿宋_GB2312" w:eastAsia="仿宋_GB2312" w:hAnsi="宋体" w:cs="仿宋_GB2312"/>
                <w:kern w:val="24"/>
                <w:sz w:val="28"/>
                <w:szCs w:val="28"/>
              </w:rPr>
              <w:t>)</w:t>
            </w:r>
          </w:p>
        </w:tc>
        <w:tc>
          <w:tcPr>
            <w:tcW w:w="2190" w:type="pct"/>
            <w:vAlign w:val="center"/>
          </w:tcPr>
          <w:p w:rsidR="00291E4B" w:rsidRPr="0025459A" w:rsidRDefault="00291E4B" w:rsidP="003927D9">
            <w:pPr>
              <w:widowControl/>
              <w:adjustRightInd w:val="0"/>
              <w:snapToGrid w:val="0"/>
              <w:spacing w:line="240" w:lineRule="atLeast"/>
              <w:jc w:val="center"/>
              <w:textAlignment w:val="center"/>
              <w:rPr>
                <w:rFonts w:ascii="仿宋_GB2312" w:eastAsia="仿宋_GB2312" w:hAnsi="宋体"/>
                <w:kern w:val="24"/>
                <w:sz w:val="28"/>
                <w:szCs w:val="28"/>
              </w:rPr>
            </w:pPr>
            <w:r>
              <w:rPr>
                <w:rFonts w:ascii="仿宋_GB2312" w:eastAsia="仿宋_GB2312" w:hAnsi="宋体" w:cs="仿宋_GB2312"/>
                <w:kern w:val="24"/>
                <w:sz w:val="28"/>
                <w:szCs w:val="28"/>
              </w:rPr>
              <w:t>0.15</w:t>
            </w:r>
          </w:p>
        </w:tc>
      </w:tr>
      <w:tr w:rsidR="00291E4B" w:rsidRPr="0025459A">
        <w:trPr>
          <w:trHeight w:val="112"/>
          <w:jc w:val="center"/>
        </w:trPr>
        <w:tc>
          <w:tcPr>
            <w:tcW w:w="2810" w:type="pct"/>
            <w:vAlign w:val="center"/>
          </w:tcPr>
          <w:p w:rsidR="00291E4B" w:rsidRPr="0025459A" w:rsidRDefault="00291E4B" w:rsidP="003927D9">
            <w:pPr>
              <w:widowControl/>
              <w:adjustRightInd w:val="0"/>
              <w:snapToGrid w:val="0"/>
              <w:spacing w:line="240" w:lineRule="atLeast"/>
              <w:jc w:val="center"/>
              <w:textAlignment w:val="center"/>
              <w:rPr>
                <w:rFonts w:ascii="仿宋_GB2312" w:eastAsia="仿宋_GB2312" w:hAnsi="宋体"/>
                <w:kern w:val="24"/>
                <w:sz w:val="28"/>
                <w:szCs w:val="28"/>
              </w:rPr>
            </w:pPr>
            <w:r>
              <w:rPr>
                <w:rFonts w:ascii="仿宋_GB2312" w:eastAsia="仿宋_GB2312" w:hAnsi="宋体" w:cs="仿宋_GB2312" w:hint="eastAsia"/>
                <w:kern w:val="24"/>
                <w:sz w:val="28"/>
                <w:szCs w:val="28"/>
              </w:rPr>
              <w:t>合计</w:t>
            </w:r>
          </w:p>
        </w:tc>
        <w:tc>
          <w:tcPr>
            <w:tcW w:w="2190" w:type="pct"/>
            <w:vAlign w:val="center"/>
          </w:tcPr>
          <w:p w:rsidR="00291E4B" w:rsidRPr="0025459A" w:rsidRDefault="00291E4B" w:rsidP="003927D9">
            <w:pPr>
              <w:widowControl/>
              <w:adjustRightInd w:val="0"/>
              <w:snapToGrid w:val="0"/>
              <w:spacing w:line="240" w:lineRule="atLeast"/>
              <w:jc w:val="center"/>
              <w:textAlignment w:val="center"/>
              <w:rPr>
                <w:rFonts w:ascii="仿宋_GB2312" w:eastAsia="仿宋_GB2312" w:hAnsi="宋体"/>
                <w:kern w:val="24"/>
                <w:sz w:val="28"/>
                <w:szCs w:val="28"/>
              </w:rPr>
            </w:pPr>
            <w:r>
              <w:rPr>
                <w:rFonts w:ascii="仿宋_GB2312" w:eastAsia="仿宋_GB2312" w:hAnsi="宋体" w:cs="仿宋_GB2312"/>
                <w:kern w:val="24"/>
                <w:sz w:val="28"/>
                <w:szCs w:val="28"/>
              </w:rPr>
              <w:t>2.8</w:t>
            </w:r>
            <w:r>
              <w:rPr>
                <w:rFonts w:ascii="仿宋_GB2312" w:eastAsia="仿宋_GB2312" w:hAnsi="宋体" w:cs="仿宋_GB2312" w:hint="eastAsia"/>
                <w:kern w:val="24"/>
                <w:sz w:val="28"/>
                <w:szCs w:val="28"/>
              </w:rPr>
              <w:t>～</w:t>
            </w:r>
            <w:r>
              <w:rPr>
                <w:rFonts w:ascii="仿宋_GB2312" w:eastAsia="仿宋_GB2312" w:hAnsi="宋体" w:cs="仿宋_GB2312"/>
                <w:kern w:val="24"/>
                <w:sz w:val="28"/>
                <w:szCs w:val="28"/>
              </w:rPr>
              <w:t>3.5</w:t>
            </w:r>
          </w:p>
        </w:tc>
      </w:tr>
    </w:tbl>
    <w:bookmarkEnd w:id="68"/>
    <w:bookmarkEnd w:id="69"/>
    <w:p w:rsidR="00291E4B" w:rsidRPr="0025459A" w:rsidRDefault="00291E4B" w:rsidP="00291E4B">
      <w:pPr>
        <w:shd w:val="clear" w:color="auto" w:fill="FFFFFF"/>
        <w:spacing w:line="360" w:lineRule="auto"/>
        <w:ind w:firstLineChars="200" w:firstLine="31680"/>
        <w:jc w:val="left"/>
        <w:rPr>
          <w:rFonts w:ascii="仿宋_GB2312" w:eastAsia="仿宋_GB2312" w:hAnsi="宋体"/>
          <w:sz w:val="28"/>
          <w:szCs w:val="28"/>
        </w:rPr>
      </w:pPr>
      <w:r>
        <w:rPr>
          <w:rFonts w:ascii="仿宋_GB2312" w:eastAsia="仿宋_GB2312" w:hAnsi="宋体" w:cs="仿宋_GB2312" w:hint="eastAsia"/>
          <w:sz w:val="28"/>
          <w:szCs w:val="28"/>
        </w:rPr>
        <w:t>注：</w:t>
      </w:r>
      <w:r>
        <w:rPr>
          <w:rFonts w:ascii="仿宋_GB2312" w:eastAsia="仿宋_GB2312" w:hAnsi="宋体" w:cs="仿宋_GB2312"/>
          <w:sz w:val="28"/>
          <w:szCs w:val="28"/>
        </w:rPr>
        <w:t>2020</w:t>
      </w:r>
      <w:r>
        <w:rPr>
          <w:rFonts w:ascii="仿宋_GB2312" w:eastAsia="仿宋_GB2312" w:hAnsi="宋体" w:cs="仿宋_GB2312" w:hint="eastAsia"/>
          <w:sz w:val="28"/>
          <w:szCs w:val="28"/>
        </w:rPr>
        <w:t>年电动出租车发展规模控制在</w:t>
      </w:r>
      <w:r>
        <w:rPr>
          <w:rFonts w:ascii="仿宋_GB2312" w:eastAsia="仿宋_GB2312" w:hAnsi="宋体" w:cs="仿宋_GB2312"/>
          <w:sz w:val="28"/>
          <w:szCs w:val="28"/>
        </w:rPr>
        <w:t>6</w:t>
      </w:r>
      <w:r>
        <w:rPr>
          <w:rFonts w:ascii="仿宋_GB2312" w:eastAsia="仿宋_GB2312" w:cs="仿宋_GB2312"/>
          <w:sz w:val="28"/>
          <w:szCs w:val="28"/>
        </w:rPr>
        <w:t>00</w:t>
      </w:r>
      <w:r>
        <w:rPr>
          <w:rFonts w:ascii="仿宋_GB2312" w:eastAsia="仿宋_GB2312" w:hAnsi="宋体" w:cs="仿宋_GB2312" w:hint="eastAsia"/>
          <w:sz w:val="28"/>
          <w:szCs w:val="28"/>
        </w:rPr>
        <w:t>辆左右。</w:t>
      </w:r>
    </w:p>
    <w:p w:rsidR="00291E4B" w:rsidRPr="006A1B3E" w:rsidRDefault="00291E4B" w:rsidP="006F6AE2">
      <w:pPr>
        <w:shd w:val="clear" w:color="auto" w:fill="FFFFFF"/>
        <w:spacing w:line="360" w:lineRule="auto"/>
        <w:ind w:firstLineChars="200" w:firstLine="31680"/>
        <w:jc w:val="left"/>
        <w:rPr>
          <w:rFonts w:ascii="仿宋_GB2312" w:eastAsia="仿宋_GB2312"/>
          <w:sz w:val="32"/>
          <w:szCs w:val="32"/>
        </w:rPr>
      </w:pPr>
      <w:r w:rsidRPr="006A1B3E">
        <w:rPr>
          <w:rFonts w:ascii="仿宋_GB2312" w:eastAsia="仿宋_GB2312" w:hAnsi="宋体" w:cs="仿宋_GB2312" w:hint="eastAsia"/>
          <w:sz w:val="32"/>
          <w:szCs w:val="32"/>
        </w:rPr>
        <w:t>“十三五”为电动汽车起步阶段，除福州中心城区外，本规划综合考虑市域各县（市）社会经济、城市规模及机动化发展水平等因素，选取福清、长乐、连江与闽侯作为电动汽车推广示范县</w:t>
      </w:r>
      <w:r w:rsidRPr="006A1B3E">
        <w:rPr>
          <w:rFonts w:ascii="仿宋_GB2312" w:eastAsia="仿宋_GB2312" w:hAnsi="宋体" w:cs="仿宋_GB2312"/>
          <w:sz w:val="32"/>
          <w:szCs w:val="32"/>
        </w:rPr>
        <w:t>(</w:t>
      </w:r>
      <w:r w:rsidRPr="006A1B3E">
        <w:rPr>
          <w:rFonts w:ascii="仿宋_GB2312" w:eastAsia="仿宋_GB2312" w:hAnsi="宋体" w:cs="仿宋_GB2312" w:hint="eastAsia"/>
          <w:sz w:val="32"/>
          <w:szCs w:val="32"/>
        </w:rPr>
        <w:t>市</w:t>
      </w:r>
      <w:r w:rsidRPr="006A1B3E">
        <w:rPr>
          <w:rFonts w:ascii="仿宋_GB2312" w:eastAsia="仿宋_GB2312" w:hAnsi="宋体" w:cs="仿宋_GB2312"/>
          <w:sz w:val="32"/>
          <w:szCs w:val="32"/>
        </w:rPr>
        <w:t>)</w:t>
      </w:r>
      <w:r w:rsidRPr="006A1B3E">
        <w:rPr>
          <w:rFonts w:ascii="仿宋_GB2312" w:eastAsia="仿宋_GB2312" w:hAnsi="宋体" w:cs="仿宋_GB2312" w:hint="eastAsia"/>
          <w:sz w:val="32"/>
          <w:szCs w:val="32"/>
        </w:rPr>
        <w:t>，将</w:t>
      </w:r>
      <w:r w:rsidRPr="006A1B3E">
        <w:rPr>
          <w:rFonts w:ascii="仿宋_GB2312" w:eastAsia="仿宋_GB2312" w:hAnsi="宋体" w:cs="仿宋_GB2312"/>
          <w:sz w:val="32"/>
          <w:szCs w:val="32"/>
        </w:rPr>
        <w:t>2020</w:t>
      </w:r>
      <w:r w:rsidRPr="006A1B3E">
        <w:rPr>
          <w:rFonts w:ascii="仿宋_GB2312" w:eastAsia="仿宋_GB2312" w:hAnsi="宋体" w:cs="仿宋_GB2312" w:hint="eastAsia"/>
          <w:sz w:val="32"/>
          <w:szCs w:val="32"/>
        </w:rPr>
        <w:t>年福州电动汽车发展目标分解至中心城区及重点区县，其他区域电动汽车参照重点区县发展，数量不做要求。</w:t>
      </w:r>
    </w:p>
    <w:p w:rsidR="00291E4B" w:rsidRPr="0025459A" w:rsidRDefault="00291E4B" w:rsidP="009E25FD">
      <w:pPr>
        <w:tabs>
          <w:tab w:val="left" w:pos="1274"/>
        </w:tabs>
        <w:spacing w:line="360" w:lineRule="auto"/>
        <w:jc w:val="center"/>
        <w:rPr>
          <w:rFonts w:ascii="仿宋_GB2312" w:eastAsia="仿宋_GB2312"/>
          <w:sz w:val="30"/>
          <w:szCs w:val="30"/>
        </w:rPr>
      </w:pPr>
      <w:r>
        <w:rPr>
          <w:rFonts w:ascii="仿宋_GB2312" w:eastAsia="仿宋_GB2312" w:cs="仿宋_GB2312" w:hint="eastAsia"/>
          <w:sz w:val="30"/>
          <w:szCs w:val="30"/>
        </w:rPr>
        <w:t>表</w:t>
      </w:r>
      <w:r>
        <w:rPr>
          <w:rFonts w:ascii="仿宋_GB2312" w:eastAsia="仿宋_GB2312" w:cs="仿宋_GB2312"/>
          <w:sz w:val="30"/>
          <w:szCs w:val="30"/>
        </w:rPr>
        <w:fldChar w:fldCharType="begin"/>
      </w:r>
      <w:r>
        <w:rPr>
          <w:rFonts w:ascii="仿宋_GB2312" w:eastAsia="仿宋_GB2312" w:cs="仿宋_GB2312"/>
          <w:sz w:val="30"/>
          <w:szCs w:val="30"/>
        </w:rPr>
        <w:instrText xml:space="preserve"> REF _Ref457383792 \r \h </w:instrText>
      </w:r>
      <w:r w:rsidRPr="00725AC9">
        <w:rPr>
          <w:rFonts w:ascii="仿宋_GB2312" w:eastAsia="仿宋_GB2312"/>
          <w:sz w:val="30"/>
          <w:szCs w:val="30"/>
        </w:rPr>
      </w:r>
      <w:r>
        <w:rPr>
          <w:rFonts w:ascii="仿宋_GB2312" w:eastAsia="仿宋_GB2312" w:cs="仿宋_GB2312"/>
          <w:sz w:val="30"/>
          <w:szCs w:val="30"/>
        </w:rPr>
        <w:fldChar w:fldCharType="separate"/>
      </w:r>
      <w:r>
        <w:rPr>
          <w:rFonts w:ascii="仿宋_GB2312" w:eastAsia="仿宋_GB2312" w:cs="仿宋_GB2312"/>
          <w:sz w:val="30"/>
          <w:szCs w:val="30"/>
        </w:rPr>
        <w:t>3.1</w:t>
      </w:r>
      <w:r>
        <w:rPr>
          <w:rFonts w:ascii="仿宋_GB2312" w:eastAsia="仿宋_GB2312" w:cs="仿宋_GB2312"/>
          <w:sz w:val="30"/>
          <w:szCs w:val="30"/>
        </w:rPr>
        <w:fldChar w:fldCharType="end"/>
      </w:r>
      <w:r>
        <w:rPr>
          <w:rFonts w:ascii="仿宋_GB2312" w:eastAsia="仿宋_GB2312" w:cs="仿宋_GB2312"/>
          <w:sz w:val="30"/>
          <w:szCs w:val="30"/>
        </w:rPr>
        <w:t>-2   2020</w:t>
      </w:r>
      <w:r>
        <w:rPr>
          <w:rFonts w:ascii="仿宋_GB2312" w:eastAsia="仿宋_GB2312" w:cs="仿宋_GB2312" w:hint="eastAsia"/>
          <w:sz w:val="30"/>
          <w:szCs w:val="30"/>
        </w:rPr>
        <w:t>年福州重点区县电动汽车发展规模</w:t>
      </w: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2321"/>
        <w:gridCol w:w="1258"/>
        <w:gridCol w:w="1260"/>
        <w:gridCol w:w="1260"/>
        <w:gridCol w:w="1258"/>
        <w:gridCol w:w="1260"/>
        <w:gridCol w:w="1256"/>
      </w:tblGrid>
      <w:tr w:rsidR="00291E4B" w:rsidRPr="0025459A">
        <w:trPr>
          <w:trHeight w:val="680"/>
        </w:trPr>
        <w:tc>
          <w:tcPr>
            <w:tcW w:w="1176" w:type="pct"/>
            <w:shd w:val="clear" w:color="auto" w:fill="FFFFFF"/>
            <w:tcMar>
              <w:top w:w="15" w:type="dxa"/>
              <w:left w:w="57" w:type="dxa"/>
              <w:bottom w:w="0" w:type="dxa"/>
              <w:right w:w="57"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hint="eastAsia"/>
                <w:kern w:val="24"/>
              </w:rPr>
              <w:t>类别</w:t>
            </w:r>
          </w:p>
        </w:tc>
        <w:tc>
          <w:tcPr>
            <w:tcW w:w="637" w:type="pct"/>
            <w:shd w:val="clear" w:color="auto" w:fill="FFFFFF"/>
            <w:tcMar>
              <w:top w:w="15" w:type="dxa"/>
              <w:left w:w="57" w:type="dxa"/>
              <w:bottom w:w="0" w:type="dxa"/>
              <w:right w:w="57"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hint="eastAsia"/>
                <w:kern w:val="24"/>
              </w:rPr>
              <w:t>福州</w:t>
            </w:r>
          </w:p>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hint="eastAsia"/>
                <w:kern w:val="24"/>
              </w:rPr>
              <w:t>中心</w:t>
            </w:r>
          </w:p>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hint="eastAsia"/>
                <w:kern w:val="24"/>
              </w:rPr>
              <w:t>城区</w:t>
            </w:r>
          </w:p>
        </w:tc>
        <w:tc>
          <w:tcPr>
            <w:tcW w:w="638" w:type="pct"/>
            <w:shd w:val="clear" w:color="auto" w:fill="FFFFFF"/>
            <w:tcMar>
              <w:top w:w="15" w:type="dxa"/>
              <w:left w:w="57" w:type="dxa"/>
              <w:bottom w:w="0" w:type="dxa"/>
              <w:right w:w="57"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hint="eastAsia"/>
                <w:kern w:val="24"/>
              </w:rPr>
              <w:t>福清</w:t>
            </w:r>
          </w:p>
        </w:tc>
        <w:tc>
          <w:tcPr>
            <w:tcW w:w="638" w:type="pct"/>
            <w:shd w:val="clear" w:color="auto" w:fill="FFFFFF"/>
            <w:tcMar>
              <w:top w:w="15" w:type="dxa"/>
              <w:left w:w="57" w:type="dxa"/>
              <w:bottom w:w="0" w:type="dxa"/>
              <w:right w:w="57"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hint="eastAsia"/>
                <w:kern w:val="24"/>
              </w:rPr>
              <w:t>长乐</w:t>
            </w:r>
          </w:p>
        </w:tc>
        <w:tc>
          <w:tcPr>
            <w:tcW w:w="637" w:type="pct"/>
            <w:shd w:val="clear" w:color="auto" w:fill="FFFFFF"/>
            <w:tcMar>
              <w:top w:w="15" w:type="dxa"/>
              <w:left w:w="57" w:type="dxa"/>
              <w:bottom w:w="0" w:type="dxa"/>
              <w:right w:w="57"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hint="eastAsia"/>
                <w:kern w:val="24"/>
              </w:rPr>
              <w:t>闽侯</w:t>
            </w:r>
          </w:p>
        </w:tc>
        <w:tc>
          <w:tcPr>
            <w:tcW w:w="638" w:type="pct"/>
            <w:shd w:val="clear" w:color="auto" w:fill="FFFFFF"/>
            <w:tcMar>
              <w:top w:w="15" w:type="dxa"/>
              <w:left w:w="57" w:type="dxa"/>
              <w:bottom w:w="0" w:type="dxa"/>
              <w:right w:w="57"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hint="eastAsia"/>
                <w:kern w:val="24"/>
              </w:rPr>
              <w:t>连江</w:t>
            </w:r>
          </w:p>
        </w:tc>
        <w:tc>
          <w:tcPr>
            <w:tcW w:w="636" w:type="pct"/>
            <w:shd w:val="clear" w:color="auto" w:fill="FFFFFF"/>
            <w:tcMar>
              <w:top w:w="15" w:type="dxa"/>
              <w:left w:w="57" w:type="dxa"/>
              <w:bottom w:w="0" w:type="dxa"/>
              <w:right w:w="57" w:type="dxa"/>
            </w:tcMar>
            <w:vAlign w:val="center"/>
          </w:tcPr>
          <w:p w:rsidR="00291E4B" w:rsidRPr="0025459A" w:rsidRDefault="00291E4B" w:rsidP="003927D9">
            <w:pPr>
              <w:shd w:val="clear" w:color="auto" w:fill="FFFFFF"/>
              <w:adjustRightInd w:val="0"/>
              <w:snapToGrid w:val="0"/>
              <w:spacing w:line="240" w:lineRule="atLeast"/>
              <w:jc w:val="center"/>
              <w:rPr>
                <w:rFonts w:ascii="仿宋_GB2312" w:eastAsia="仿宋_GB2312" w:hAnsi="宋体"/>
                <w:kern w:val="24"/>
                <w:sz w:val="24"/>
                <w:szCs w:val="24"/>
              </w:rPr>
            </w:pPr>
            <w:r>
              <w:rPr>
                <w:rFonts w:ascii="仿宋_GB2312" w:eastAsia="仿宋_GB2312" w:hAnsi="宋体" w:cs="仿宋_GB2312" w:hint="eastAsia"/>
                <w:kern w:val="24"/>
                <w:sz w:val="24"/>
                <w:szCs w:val="24"/>
              </w:rPr>
              <w:t>合计</w:t>
            </w:r>
          </w:p>
        </w:tc>
      </w:tr>
      <w:tr w:rsidR="00291E4B" w:rsidRPr="0025459A">
        <w:trPr>
          <w:trHeight w:val="545"/>
        </w:trPr>
        <w:tc>
          <w:tcPr>
            <w:tcW w:w="1176" w:type="pct"/>
            <w:shd w:val="clear" w:color="auto" w:fill="FFFFFF"/>
            <w:vAlign w:val="center"/>
          </w:tcPr>
          <w:p w:rsidR="00291E4B" w:rsidRPr="0025459A" w:rsidRDefault="00291E4B" w:rsidP="003927D9">
            <w:pPr>
              <w:pStyle w:val="NormalWeb"/>
              <w:adjustRightInd w:val="0"/>
              <w:snapToGrid w:val="0"/>
              <w:spacing w:before="0" w:beforeAutospacing="0" w:after="0" w:afterAutospacing="0" w:line="240" w:lineRule="atLeast"/>
              <w:textAlignment w:val="center"/>
              <w:rPr>
                <w:rFonts w:ascii="仿宋_GB2312" w:eastAsia="仿宋_GB2312" w:cs="Times New Roman"/>
                <w:kern w:val="24"/>
              </w:rPr>
            </w:pPr>
            <w:r w:rsidRPr="009F35EC">
              <w:rPr>
                <w:rFonts w:ascii="仿宋_GB2312" w:eastAsia="仿宋_GB2312" w:cs="仿宋_GB2312" w:hint="eastAsia"/>
                <w:kern w:val="24"/>
              </w:rPr>
              <w:t>公交车</w:t>
            </w:r>
          </w:p>
        </w:tc>
        <w:tc>
          <w:tcPr>
            <w:tcW w:w="637" w:type="pct"/>
            <w:shd w:val="clear" w:color="auto" w:fill="FFFFFF"/>
            <w:tcMar>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2500</w:t>
            </w:r>
          </w:p>
        </w:tc>
        <w:tc>
          <w:tcPr>
            <w:tcW w:w="638" w:type="pct"/>
            <w:shd w:val="clear" w:color="auto" w:fill="FFFFFF"/>
            <w:tcMar>
              <w:top w:w="15" w:type="dxa"/>
              <w:left w:w="57" w:type="dxa"/>
              <w:bottom w:w="0" w:type="dxa"/>
              <w:right w:w="57"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250</w:t>
            </w:r>
          </w:p>
        </w:tc>
        <w:tc>
          <w:tcPr>
            <w:tcW w:w="638" w:type="pct"/>
            <w:shd w:val="clear" w:color="auto" w:fill="FFFFFF"/>
            <w:tcMar>
              <w:top w:w="15" w:type="dxa"/>
              <w:left w:w="15" w:type="dxa"/>
              <w:bottom w:w="0" w:type="dxa"/>
              <w:right w:w="15"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150</w:t>
            </w:r>
          </w:p>
        </w:tc>
        <w:tc>
          <w:tcPr>
            <w:tcW w:w="637" w:type="pct"/>
            <w:shd w:val="clear" w:color="auto" w:fill="FFFFFF"/>
            <w:tcMar>
              <w:top w:w="15" w:type="dxa"/>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100</w:t>
            </w:r>
          </w:p>
        </w:tc>
        <w:tc>
          <w:tcPr>
            <w:tcW w:w="638" w:type="pct"/>
            <w:shd w:val="clear" w:color="auto" w:fill="FFFFFF"/>
            <w:tcMar>
              <w:top w:w="15" w:type="dxa"/>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100</w:t>
            </w:r>
          </w:p>
        </w:tc>
        <w:tc>
          <w:tcPr>
            <w:tcW w:w="636" w:type="pct"/>
            <w:shd w:val="clear" w:color="auto" w:fill="FFFFFF"/>
            <w:tcMar>
              <w:top w:w="15" w:type="dxa"/>
              <w:bottom w:w="0" w:type="dxa"/>
            </w:tcMar>
            <w:vAlign w:val="center"/>
          </w:tcPr>
          <w:p w:rsidR="00291E4B" w:rsidRPr="0025459A" w:rsidRDefault="00291E4B" w:rsidP="003927D9">
            <w:pPr>
              <w:shd w:val="clear" w:color="auto" w:fill="FFFFFF"/>
              <w:adjustRightInd w:val="0"/>
              <w:snapToGrid w:val="0"/>
              <w:spacing w:line="240" w:lineRule="atLeast"/>
              <w:jc w:val="center"/>
              <w:rPr>
                <w:rFonts w:ascii="仿宋_GB2312" w:eastAsia="仿宋_GB2312" w:hAnsi="宋体"/>
                <w:kern w:val="24"/>
                <w:sz w:val="24"/>
                <w:szCs w:val="24"/>
              </w:rPr>
            </w:pPr>
            <w:r>
              <w:rPr>
                <w:rFonts w:ascii="仿宋_GB2312" w:eastAsia="仿宋_GB2312" w:hAnsi="宋体" w:cs="仿宋_GB2312"/>
                <w:kern w:val="24"/>
                <w:sz w:val="24"/>
                <w:szCs w:val="24"/>
              </w:rPr>
              <w:t>3100</w:t>
            </w:r>
          </w:p>
        </w:tc>
      </w:tr>
      <w:tr w:rsidR="00291E4B" w:rsidRPr="0025459A">
        <w:trPr>
          <w:trHeight w:val="545"/>
        </w:trPr>
        <w:tc>
          <w:tcPr>
            <w:tcW w:w="1176" w:type="pct"/>
            <w:shd w:val="clear" w:color="auto" w:fill="FFFFFF"/>
            <w:vAlign w:val="center"/>
          </w:tcPr>
          <w:p w:rsidR="00291E4B" w:rsidRPr="0025459A" w:rsidRDefault="00291E4B" w:rsidP="003927D9">
            <w:pPr>
              <w:pStyle w:val="NormalWeb"/>
              <w:adjustRightInd w:val="0"/>
              <w:snapToGrid w:val="0"/>
              <w:spacing w:before="0" w:beforeAutospacing="0" w:after="0" w:afterAutospacing="0" w:line="240" w:lineRule="atLeast"/>
              <w:textAlignment w:val="center"/>
              <w:rPr>
                <w:rFonts w:ascii="仿宋_GB2312" w:eastAsia="仿宋_GB2312" w:cs="Times New Roman"/>
                <w:kern w:val="24"/>
              </w:rPr>
            </w:pPr>
            <w:r w:rsidRPr="009F35EC">
              <w:rPr>
                <w:rFonts w:ascii="仿宋_GB2312" w:eastAsia="仿宋_GB2312" w:cs="仿宋_GB2312" w:hint="eastAsia"/>
                <w:kern w:val="24"/>
              </w:rPr>
              <w:t>乘用车（含公务、出租、私人等）</w:t>
            </w:r>
          </w:p>
        </w:tc>
        <w:tc>
          <w:tcPr>
            <w:tcW w:w="637" w:type="pct"/>
            <w:shd w:val="clear" w:color="auto" w:fill="FFFFFF"/>
            <w:tcMar>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24500</w:t>
            </w:r>
          </w:p>
        </w:tc>
        <w:tc>
          <w:tcPr>
            <w:tcW w:w="638" w:type="pct"/>
            <w:shd w:val="clear" w:color="auto" w:fill="FFFFFF"/>
            <w:tcMar>
              <w:top w:w="15" w:type="dxa"/>
              <w:left w:w="57" w:type="dxa"/>
              <w:bottom w:w="0" w:type="dxa"/>
              <w:right w:w="57"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2000</w:t>
            </w:r>
          </w:p>
        </w:tc>
        <w:tc>
          <w:tcPr>
            <w:tcW w:w="638" w:type="pct"/>
            <w:shd w:val="clear" w:color="auto" w:fill="FFFFFF"/>
            <w:tcMar>
              <w:top w:w="15" w:type="dxa"/>
              <w:left w:w="15" w:type="dxa"/>
              <w:bottom w:w="0" w:type="dxa"/>
              <w:right w:w="15"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1500</w:t>
            </w:r>
          </w:p>
        </w:tc>
        <w:tc>
          <w:tcPr>
            <w:tcW w:w="637" w:type="pct"/>
            <w:shd w:val="clear" w:color="auto" w:fill="FFFFFF"/>
            <w:tcMar>
              <w:top w:w="15" w:type="dxa"/>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1000</w:t>
            </w:r>
          </w:p>
        </w:tc>
        <w:tc>
          <w:tcPr>
            <w:tcW w:w="638" w:type="pct"/>
            <w:shd w:val="clear" w:color="auto" w:fill="FFFFFF"/>
            <w:tcMar>
              <w:top w:w="15" w:type="dxa"/>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1000</w:t>
            </w:r>
          </w:p>
        </w:tc>
        <w:tc>
          <w:tcPr>
            <w:tcW w:w="636" w:type="pct"/>
            <w:shd w:val="clear" w:color="auto" w:fill="FFFFFF"/>
            <w:tcMar>
              <w:top w:w="15" w:type="dxa"/>
              <w:bottom w:w="0" w:type="dxa"/>
            </w:tcMar>
            <w:vAlign w:val="center"/>
          </w:tcPr>
          <w:p w:rsidR="00291E4B" w:rsidRPr="0025459A" w:rsidRDefault="00291E4B" w:rsidP="003927D9">
            <w:pPr>
              <w:shd w:val="clear" w:color="auto" w:fill="FFFFFF"/>
              <w:adjustRightInd w:val="0"/>
              <w:snapToGrid w:val="0"/>
              <w:spacing w:line="240" w:lineRule="atLeast"/>
              <w:jc w:val="center"/>
              <w:rPr>
                <w:rFonts w:ascii="仿宋_GB2312" w:eastAsia="仿宋_GB2312" w:hAnsi="宋体"/>
                <w:kern w:val="24"/>
                <w:sz w:val="24"/>
                <w:szCs w:val="24"/>
              </w:rPr>
            </w:pPr>
            <w:r>
              <w:rPr>
                <w:rFonts w:ascii="仿宋_GB2312" w:eastAsia="仿宋_GB2312" w:hAnsi="宋体" w:cs="仿宋_GB2312"/>
                <w:kern w:val="24"/>
                <w:sz w:val="24"/>
                <w:szCs w:val="24"/>
              </w:rPr>
              <w:t>30000</w:t>
            </w:r>
          </w:p>
        </w:tc>
      </w:tr>
      <w:tr w:rsidR="00291E4B" w:rsidRPr="0025459A">
        <w:trPr>
          <w:trHeight w:val="545"/>
        </w:trPr>
        <w:tc>
          <w:tcPr>
            <w:tcW w:w="1176" w:type="pct"/>
            <w:shd w:val="clear" w:color="auto" w:fill="FFFFFF"/>
            <w:vAlign w:val="center"/>
          </w:tcPr>
          <w:p w:rsidR="00291E4B" w:rsidRPr="0025459A" w:rsidRDefault="00291E4B" w:rsidP="003927D9">
            <w:pPr>
              <w:pStyle w:val="NormalWeb"/>
              <w:adjustRightInd w:val="0"/>
              <w:snapToGrid w:val="0"/>
              <w:spacing w:before="0" w:beforeAutospacing="0" w:after="0" w:afterAutospacing="0" w:line="240" w:lineRule="atLeast"/>
              <w:textAlignment w:val="center"/>
              <w:rPr>
                <w:rFonts w:ascii="仿宋_GB2312" w:eastAsia="仿宋_GB2312" w:cs="Times New Roman"/>
                <w:kern w:val="24"/>
              </w:rPr>
            </w:pPr>
            <w:r w:rsidRPr="009F35EC">
              <w:rPr>
                <w:rFonts w:ascii="仿宋_GB2312" w:eastAsia="仿宋_GB2312" w:cs="仿宋_GB2312" w:hint="eastAsia"/>
                <w:kern w:val="24"/>
              </w:rPr>
              <w:t>专用车</w:t>
            </w:r>
            <w:r w:rsidRPr="009F35EC">
              <w:rPr>
                <w:rFonts w:ascii="仿宋_GB2312" w:eastAsia="仿宋_GB2312" w:cs="仿宋_GB2312"/>
                <w:kern w:val="24"/>
              </w:rPr>
              <w:t>(</w:t>
            </w:r>
            <w:r w:rsidRPr="009F35EC">
              <w:rPr>
                <w:rFonts w:ascii="仿宋_GB2312" w:eastAsia="仿宋_GB2312" w:cs="仿宋_GB2312" w:hint="eastAsia"/>
                <w:kern w:val="24"/>
              </w:rPr>
              <w:t>含物流、环卫、短途、旅游等</w:t>
            </w:r>
            <w:r w:rsidRPr="009F35EC">
              <w:rPr>
                <w:rFonts w:ascii="仿宋_GB2312" w:eastAsia="仿宋_GB2312" w:cs="仿宋_GB2312"/>
                <w:kern w:val="24"/>
              </w:rPr>
              <w:t>)</w:t>
            </w:r>
          </w:p>
        </w:tc>
        <w:tc>
          <w:tcPr>
            <w:tcW w:w="637" w:type="pct"/>
            <w:shd w:val="clear" w:color="auto" w:fill="FFFFFF"/>
            <w:tcMar>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1250</w:t>
            </w:r>
          </w:p>
        </w:tc>
        <w:tc>
          <w:tcPr>
            <w:tcW w:w="638" w:type="pct"/>
            <w:shd w:val="clear" w:color="auto" w:fill="FFFFFF"/>
            <w:tcMar>
              <w:top w:w="15" w:type="dxa"/>
              <w:left w:w="57" w:type="dxa"/>
              <w:bottom w:w="0" w:type="dxa"/>
              <w:right w:w="57"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100</w:t>
            </w:r>
          </w:p>
        </w:tc>
        <w:tc>
          <w:tcPr>
            <w:tcW w:w="638" w:type="pct"/>
            <w:shd w:val="clear" w:color="auto" w:fill="FFFFFF"/>
            <w:tcMar>
              <w:top w:w="15" w:type="dxa"/>
              <w:left w:w="15" w:type="dxa"/>
              <w:bottom w:w="0" w:type="dxa"/>
              <w:right w:w="15"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50</w:t>
            </w:r>
          </w:p>
        </w:tc>
        <w:tc>
          <w:tcPr>
            <w:tcW w:w="637" w:type="pct"/>
            <w:shd w:val="clear" w:color="auto" w:fill="FFFFFF"/>
            <w:tcMar>
              <w:top w:w="15" w:type="dxa"/>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50</w:t>
            </w:r>
          </w:p>
        </w:tc>
        <w:tc>
          <w:tcPr>
            <w:tcW w:w="638" w:type="pct"/>
            <w:shd w:val="clear" w:color="auto" w:fill="FFFFFF"/>
            <w:tcMar>
              <w:top w:w="15" w:type="dxa"/>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50</w:t>
            </w:r>
          </w:p>
        </w:tc>
        <w:tc>
          <w:tcPr>
            <w:tcW w:w="636" w:type="pct"/>
            <w:shd w:val="clear" w:color="auto" w:fill="FFFFFF"/>
            <w:tcMar>
              <w:top w:w="15" w:type="dxa"/>
              <w:bottom w:w="0" w:type="dxa"/>
            </w:tcMar>
            <w:vAlign w:val="center"/>
          </w:tcPr>
          <w:p w:rsidR="00291E4B" w:rsidRPr="0025459A" w:rsidRDefault="00291E4B" w:rsidP="003927D9">
            <w:pPr>
              <w:shd w:val="clear" w:color="auto" w:fill="FFFFFF"/>
              <w:adjustRightInd w:val="0"/>
              <w:snapToGrid w:val="0"/>
              <w:spacing w:line="240" w:lineRule="atLeast"/>
              <w:jc w:val="center"/>
              <w:rPr>
                <w:rFonts w:ascii="仿宋_GB2312" w:eastAsia="仿宋_GB2312" w:hAnsi="宋体"/>
                <w:kern w:val="24"/>
                <w:sz w:val="24"/>
                <w:szCs w:val="24"/>
              </w:rPr>
            </w:pPr>
            <w:r>
              <w:rPr>
                <w:rFonts w:ascii="仿宋_GB2312" w:eastAsia="仿宋_GB2312" w:hAnsi="宋体" w:cs="仿宋_GB2312"/>
                <w:kern w:val="24"/>
                <w:sz w:val="24"/>
                <w:szCs w:val="24"/>
              </w:rPr>
              <w:t>1500</w:t>
            </w:r>
          </w:p>
        </w:tc>
      </w:tr>
      <w:tr w:rsidR="00291E4B" w:rsidRPr="0025459A">
        <w:trPr>
          <w:trHeight w:val="481"/>
        </w:trPr>
        <w:tc>
          <w:tcPr>
            <w:tcW w:w="1176" w:type="pct"/>
            <w:shd w:val="clear" w:color="auto" w:fill="FFFFFF"/>
            <w:vAlign w:val="center"/>
          </w:tcPr>
          <w:p w:rsidR="00291E4B" w:rsidRPr="0025459A" w:rsidRDefault="00291E4B" w:rsidP="003927D9">
            <w:pPr>
              <w:pStyle w:val="NormalWeb"/>
              <w:adjustRightInd w:val="0"/>
              <w:snapToGrid w:val="0"/>
              <w:spacing w:before="0" w:beforeAutospacing="0" w:after="0" w:afterAutospacing="0" w:line="240" w:lineRule="atLeast"/>
              <w:textAlignment w:val="center"/>
              <w:rPr>
                <w:rFonts w:ascii="仿宋_GB2312" w:eastAsia="仿宋_GB2312" w:cs="Times New Roman"/>
                <w:kern w:val="24"/>
              </w:rPr>
            </w:pPr>
            <w:r w:rsidRPr="009F35EC">
              <w:rPr>
                <w:rFonts w:ascii="仿宋_GB2312" w:eastAsia="仿宋_GB2312" w:cs="仿宋_GB2312" w:hint="eastAsia"/>
                <w:kern w:val="24"/>
              </w:rPr>
              <w:t>合计（辆）</w:t>
            </w:r>
          </w:p>
        </w:tc>
        <w:tc>
          <w:tcPr>
            <w:tcW w:w="637" w:type="pct"/>
            <w:shd w:val="clear" w:color="auto" w:fill="FFFFFF"/>
            <w:tcMar>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28250</w:t>
            </w:r>
          </w:p>
        </w:tc>
        <w:tc>
          <w:tcPr>
            <w:tcW w:w="638" w:type="pct"/>
            <w:shd w:val="clear" w:color="auto" w:fill="FFFFFF"/>
            <w:tcMar>
              <w:top w:w="15" w:type="dxa"/>
              <w:left w:w="57" w:type="dxa"/>
              <w:bottom w:w="0" w:type="dxa"/>
              <w:right w:w="57"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2350</w:t>
            </w:r>
          </w:p>
        </w:tc>
        <w:tc>
          <w:tcPr>
            <w:tcW w:w="638" w:type="pct"/>
            <w:shd w:val="clear" w:color="auto" w:fill="FFFFFF"/>
            <w:tcMar>
              <w:top w:w="15" w:type="dxa"/>
              <w:left w:w="15" w:type="dxa"/>
              <w:bottom w:w="0" w:type="dxa"/>
              <w:right w:w="15"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1700</w:t>
            </w:r>
          </w:p>
        </w:tc>
        <w:tc>
          <w:tcPr>
            <w:tcW w:w="637" w:type="pct"/>
            <w:shd w:val="clear" w:color="auto" w:fill="FFFFFF"/>
            <w:tcMar>
              <w:top w:w="15" w:type="dxa"/>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1150</w:t>
            </w:r>
          </w:p>
        </w:tc>
        <w:tc>
          <w:tcPr>
            <w:tcW w:w="638" w:type="pct"/>
            <w:shd w:val="clear" w:color="auto" w:fill="FFFFFF"/>
            <w:tcMar>
              <w:top w:w="15" w:type="dxa"/>
              <w:bottom w:w="0" w:type="dxa"/>
            </w:tcMar>
            <w:vAlign w:val="center"/>
          </w:tcPr>
          <w:p w:rsidR="00291E4B" w:rsidRPr="0025459A" w:rsidRDefault="00291E4B" w:rsidP="003927D9">
            <w:pPr>
              <w:pStyle w:val="NormalWeb"/>
              <w:adjustRightInd w:val="0"/>
              <w:snapToGrid w:val="0"/>
              <w:spacing w:before="0" w:beforeAutospacing="0" w:after="0" w:afterAutospacing="0" w:line="240" w:lineRule="atLeast"/>
              <w:jc w:val="center"/>
              <w:textAlignment w:val="center"/>
              <w:rPr>
                <w:rFonts w:ascii="仿宋_GB2312" w:eastAsia="仿宋_GB2312" w:cs="Times New Roman"/>
                <w:kern w:val="24"/>
              </w:rPr>
            </w:pPr>
            <w:r w:rsidRPr="009F35EC">
              <w:rPr>
                <w:rFonts w:ascii="仿宋_GB2312" w:eastAsia="仿宋_GB2312" w:cs="仿宋_GB2312"/>
                <w:kern w:val="24"/>
              </w:rPr>
              <w:t>1150</w:t>
            </w:r>
          </w:p>
        </w:tc>
        <w:tc>
          <w:tcPr>
            <w:tcW w:w="636" w:type="pct"/>
            <w:shd w:val="clear" w:color="auto" w:fill="FFFFFF"/>
            <w:tcMar>
              <w:top w:w="15" w:type="dxa"/>
              <w:bottom w:w="0" w:type="dxa"/>
            </w:tcMar>
            <w:vAlign w:val="center"/>
          </w:tcPr>
          <w:p w:rsidR="00291E4B" w:rsidRPr="0025459A" w:rsidRDefault="00291E4B" w:rsidP="003927D9">
            <w:pPr>
              <w:shd w:val="clear" w:color="auto" w:fill="FFFFFF"/>
              <w:adjustRightInd w:val="0"/>
              <w:snapToGrid w:val="0"/>
              <w:spacing w:line="240" w:lineRule="atLeast"/>
              <w:jc w:val="center"/>
              <w:rPr>
                <w:rFonts w:ascii="仿宋_GB2312" w:eastAsia="仿宋_GB2312" w:hAnsi="宋体"/>
                <w:kern w:val="24"/>
                <w:sz w:val="24"/>
                <w:szCs w:val="24"/>
              </w:rPr>
            </w:pPr>
            <w:r>
              <w:rPr>
                <w:rFonts w:ascii="仿宋_GB2312" w:eastAsia="仿宋_GB2312" w:hAnsi="宋体" w:cs="仿宋_GB2312"/>
                <w:kern w:val="24"/>
                <w:sz w:val="24"/>
                <w:szCs w:val="24"/>
              </w:rPr>
              <w:t>34600</w:t>
            </w:r>
          </w:p>
        </w:tc>
      </w:tr>
    </w:tbl>
    <w:p w:rsidR="00291E4B" w:rsidRPr="0025459A" w:rsidRDefault="00291E4B" w:rsidP="00D20582">
      <w:pPr>
        <w:pStyle w:val="Heading2"/>
        <w:rPr>
          <w:rFonts w:cs="Times New Roman"/>
        </w:rPr>
      </w:pPr>
      <w:r w:rsidRPr="009F35EC">
        <w:t xml:space="preserve">  </w:t>
      </w:r>
      <w:bookmarkStart w:id="70" w:name="_Ref457383812"/>
      <w:bookmarkStart w:id="71" w:name="_Toc462643630"/>
      <w:r w:rsidRPr="009F35EC">
        <w:rPr>
          <w:rFonts w:cs="黑体" w:hint="eastAsia"/>
        </w:rPr>
        <w:t>充电基础设施配置原则</w:t>
      </w:r>
      <w:bookmarkEnd w:id="70"/>
      <w:bookmarkEnd w:id="71"/>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结合实际运行反馈的情况，设定各类型车辆充电设施配置原则如下：</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b/>
          <w:bCs/>
          <w:sz w:val="32"/>
          <w:szCs w:val="32"/>
        </w:rPr>
        <w:t>公交车充电桩配置原则：</w:t>
      </w:r>
      <w:r>
        <w:rPr>
          <w:rFonts w:ascii="仿宋_GB2312" w:eastAsia="仿宋_GB2312" w:hAnsi="仿宋" w:cs="仿宋_GB2312" w:hint="eastAsia"/>
          <w:sz w:val="32"/>
          <w:szCs w:val="32"/>
        </w:rPr>
        <w:t>结合公交场站设置公交车专用充电站。参考其他省市及福州市现有运行经验，按照车桩比</w:t>
      </w:r>
      <w:r>
        <w:rPr>
          <w:rFonts w:ascii="仿宋_GB2312" w:eastAsia="仿宋_GB2312" w:hAnsi="仿宋" w:cs="仿宋_GB2312"/>
          <w:sz w:val="32"/>
          <w:szCs w:val="32"/>
        </w:rPr>
        <w:t>3</w:t>
      </w: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4</w:t>
      </w: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进行配置。公交车充电站虽可用于小型车充电，但由于公交车场站的专用性，对城市交通组织要求较高，不具备公共开放性。</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b/>
          <w:bCs/>
          <w:sz w:val="32"/>
          <w:szCs w:val="32"/>
        </w:rPr>
        <w:t>出租车充电桩配置原则：</w:t>
      </w:r>
      <w:r>
        <w:rPr>
          <w:rFonts w:ascii="仿宋_GB2312" w:eastAsia="仿宋_GB2312" w:hAnsi="仿宋" w:cs="仿宋_GB2312" w:hint="eastAsia"/>
          <w:sz w:val="32"/>
          <w:szCs w:val="32"/>
        </w:rPr>
        <w:t>征求出租车运营方意见，本规划福州市出租车考虑按充电模式发展。根据出租车昼夜持续运行的特点，并考虑一定规模的公共充电设施可为其提供补电，参考其他省市运行经验，出租车按照车桩比</w:t>
      </w:r>
      <w:r>
        <w:rPr>
          <w:rFonts w:ascii="仿宋_GB2312" w:eastAsia="仿宋_GB2312" w:hAnsi="仿宋" w:cs="仿宋_GB2312"/>
          <w:sz w:val="32"/>
          <w:szCs w:val="32"/>
        </w:rPr>
        <w:t>2</w:t>
      </w: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进行配置。考虑到</w:t>
      </w:r>
      <w:r w:rsidRPr="009F35EC">
        <w:rPr>
          <w:rFonts w:ascii="仿宋_GB2312" w:eastAsia="仿宋_GB2312" w:cs="仿宋_GB2312" w:hint="eastAsia"/>
          <w:sz w:val="32"/>
          <w:szCs w:val="32"/>
        </w:rPr>
        <w:t>现状纳入用地规划的固定出租车服务站少，</w:t>
      </w:r>
      <w:r>
        <w:rPr>
          <w:rFonts w:ascii="仿宋_GB2312" w:eastAsia="仿宋_GB2312" w:cs="仿宋_GB2312" w:hint="eastAsia"/>
          <w:sz w:val="32"/>
          <w:szCs w:val="32"/>
        </w:rPr>
        <w:t>因此</w:t>
      </w:r>
      <w:r w:rsidRPr="009F35EC">
        <w:rPr>
          <w:rFonts w:ascii="仿宋_GB2312" w:eastAsia="仿宋_GB2312" w:cs="仿宋_GB2312" w:hint="eastAsia"/>
          <w:sz w:val="32"/>
          <w:szCs w:val="32"/>
        </w:rPr>
        <w:t>出租车充电主要依靠公共充电设施</w:t>
      </w:r>
      <w:r>
        <w:rPr>
          <w:rFonts w:ascii="仿宋_GB2312" w:eastAsia="仿宋_GB2312" w:hAnsi="仿宋" w:cs="仿宋_GB2312" w:hint="eastAsia"/>
          <w:sz w:val="32"/>
          <w:szCs w:val="32"/>
        </w:rPr>
        <w:t>。</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b/>
          <w:bCs/>
          <w:sz w:val="32"/>
          <w:szCs w:val="32"/>
        </w:rPr>
        <w:t>环卫、物流及公安巡逻充电桩配置原则：</w:t>
      </w:r>
      <w:r>
        <w:rPr>
          <w:rFonts w:ascii="仿宋_GB2312" w:eastAsia="仿宋_GB2312" w:hAnsi="仿宋" w:cs="仿宋_GB2312" w:hint="eastAsia"/>
          <w:sz w:val="32"/>
          <w:szCs w:val="32"/>
        </w:rPr>
        <w:t>结合专用停车场站或单位内部停车场配置充电桩。根据环卫、物流及公安巡逻车的运行特点，按车桩比</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配置。</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b/>
          <w:bCs/>
          <w:sz w:val="32"/>
          <w:szCs w:val="32"/>
        </w:rPr>
        <w:t>公务车、私人乘用车充电桩配置原则：</w:t>
      </w:r>
      <w:r>
        <w:rPr>
          <w:rFonts w:ascii="仿宋_GB2312" w:eastAsia="仿宋_GB2312" w:hAnsi="仿宋" w:cs="仿宋_GB2312" w:hint="eastAsia"/>
          <w:sz w:val="32"/>
          <w:szCs w:val="32"/>
        </w:rPr>
        <w:t>结合企事业内部停车场和小区停车位配置充电桩。公务车、私人乘用车均按车桩比</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配置。</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按照“适当超前”的规划原则，为提高电动汽车使用的便捷性，满足临时补电的需求，还应补充一定数量的公共充电设施。配置原则如下：</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b/>
          <w:bCs/>
          <w:sz w:val="32"/>
          <w:szCs w:val="32"/>
        </w:rPr>
        <w:t>公共充电站配置原则：</w:t>
      </w:r>
      <w:r>
        <w:rPr>
          <w:rFonts w:ascii="仿宋_GB2312" w:eastAsia="仿宋_GB2312" w:hAnsi="方正仿宋_GBK" w:cs="仿宋_GB2312" w:hint="eastAsia"/>
          <w:kern w:val="0"/>
          <w:sz w:val="32"/>
          <w:szCs w:val="32"/>
        </w:rPr>
        <w:t>结合交通枢纽、公共停车场、大型建筑配建停车场、文体及商业中心等公共场所建设城市公共充电站</w:t>
      </w:r>
      <w:r>
        <w:rPr>
          <w:rFonts w:ascii="仿宋_GB2312" w:eastAsia="仿宋_GB2312" w:hAnsi="仿宋" w:cs="仿宋_GB2312" w:hint="eastAsia"/>
          <w:sz w:val="32"/>
          <w:szCs w:val="32"/>
        </w:rPr>
        <w:t>。按照每</w:t>
      </w:r>
      <w:r>
        <w:rPr>
          <w:rFonts w:ascii="仿宋_GB2312" w:eastAsia="仿宋_GB2312" w:hAnsi="仿宋" w:cs="仿宋_GB2312"/>
          <w:sz w:val="32"/>
          <w:szCs w:val="32"/>
        </w:rPr>
        <w:t>1000</w:t>
      </w:r>
      <w:r>
        <w:rPr>
          <w:rFonts w:ascii="仿宋_GB2312" w:eastAsia="仿宋_GB2312" w:hAnsi="仿宋" w:cs="仿宋_GB2312" w:hint="eastAsia"/>
          <w:sz w:val="32"/>
          <w:szCs w:val="32"/>
        </w:rPr>
        <w:t>辆电动车建设一座配置直流快充桩为主的充电站。</w:t>
      </w:r>
    </w:p>
    <w:p w:rsidR="00291E4B"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b/>
          <w:bCs/>
          <w:sz w:val="32"/>
          <w:szCs w:val="32"/>
        </w:rPr>
        <w:t>城际快充站配置原则：</w:t>
      </w:r>
      <w:r>
        <w:rPr>
          <w:rFonts w:ascii="仿宋_GB2312" w:eastAsia="仿宋_GB2312" w:hAnsi="仿宋" w:cs="仿宋_GB2312" w:hint="eastAsia"/>
          <w:sz w:val="32"/>
          <w:szCs w:val="32"/>
        </w:rPr>
        <w:t>每个高速服务区配套建设一座不少于</w:t>
      </w:r>
      <w:r>
        <w:rPr>
          <w:rFonts w:ascii="仿宋_GB2312" w:eastAsia="仿宋_GB2312" w:hAnsi="仿宋" w:cs="仿宋_GB2312"/>
          <w:sz w:val="32"/>
          <w:szCs w:val="32"/>
        </w:rPr>
        <w:t>4</w:t>
      </w:r>
      <w:r>
        <w:rPr>
          <w:rFonts w:ascii="仿宋_GB2312" w:eastAsia="仿宋_GB2312" w:hAnsi="仿宋" w:cs="仿宋_GB2312" w:hint="eastAsia"/>
          <w:sz w:val="32"/>
          <w:szCs w:val="32"/>
        </w:rPr>
        <w:t>个直流快充桩的城际快充站。国省干线适当配套建设城际快充站。</w:t>
      </w:r>
    </w:p>
    <w:p w:rsidR="00291E4B" w:rsidRPr="0025459A" w:rsidRDefault="00291E4B" w:rsidP="006C7A66">
      <w:pPr>
        <w:pStyle w:val="Heading1"/>
        <w:jc w:val="center"/>
        <w:rPr>
          <w:rFonts w:ascii="黑体" w:eastAsia="黑体"/>
          <w:sz w:val="32"/>
          <w:szCs w:val="32"/>
        </w:rPr>
      </w:pPr>
      <w:bookmarkStart w:id="72" w:name="_Toc462643632"/>
      <w:r w:rsidRPr="009F35EC">
        <w:rPr>
          <w:rFonts w:ascii="黑体" w:eastAsia="黑体" w:cs="黑体" w:hint="eastAsia"/>
          <w:sz w:val="32"/>
          <w:szCs w:val="32"/>
        </w:rPr>
        <w:t>总体思路与发展目标</w:t>
      </w:r>
      <w:bookmarkEnd w:id="72"/>
    </w:p>
    <w:p w:rsidR="00291E4B" w:rsidRPr="0025459A" w:rsidRDefault="00291E4B" w:rsidP="00B54EF5">
      <w:pPr>
        <w:pStyle w:val="Heading2"/>
        <w:rPr>
          <w:rFonts w:cs="Times New Roman"/>
        </w:rPr>
      </w:pPr>
      <w:r>
        <w:t xml:space="preserve">  </w:t>
      </w:r>
      <w:bookmarkStart w:id="73" w:name="_Toc462643633"/>
      <w:r>
        <w:rPr>
          <w:rFonts w:cs="黑体" w:hint="eastAsia"/>
        </w:rPr>
        <w:t>基本原则</w:t>
      </w:r>
      <w:bookmarkEnd w:id="73"/>
    </w:p>
    <w:p w:rsidR="00291E4B" w:rsidRPr="0025459A" w:rsidRDefault="00291E4B" w:rsidP="00B54EF5">
      <w:pPr>
        <w:pStyle w:val="Heading3"/>
        <w:numPr>
          <w:ilvl w:val="0"/>
          <w:numId w:val="0"/>
        </w:numPr>
        <w:spacing w:before="0" w:after="0" w:line="360" w:lineRule="auto"/>
        <w:ind w:left="630"/>
        <w:rPr>
          <w:rFonts w:ascii="仿宋_GB2312" w:eastAsia="仿宋_GB2312" w:hAnsi="仿宋"/>
        </w:rPr>
      </w:pPr>
      <w:bookmarkStart w:id="74" w:name="_Toc440489400"/>
      <w:r>
        <w:rPr>
          <w:rFonts w:ascii="仿宋_GB2312" w:eastAsia="仿宋_GB2312" w:hAnsi="仿宋" w:cs="仿宋_GB2312" w:hint="eastAsia"/>
        </w:rPr>
        <w:t>一、因地制宜，科学布局</w:t>
      </w:r>
      <w:bookmarkEnd w:id="74"/>
    </w:p>
    <w:p w:rsidR="00291E4B" w:rsidRPr="0025459A" w:rsidRDefault="00291E4B" w:rsidP="006F6AE2">
      <w:pPr>
        <w:spacing w:line="360" w:lineRule="auto"/>
        <w:ind w:firstLineChars="200" w:firstLine="31680"/>
        <w:rPr>
          <w:rFonts w:ascii="仿宋_GB2312" w:eastAsia="仿宋_GB2312" w:hAnsi="仿宋"/>
          <w:sz w:val="32"/>
          <w:szCs w:val="32"/>
        </w:rPr>
      </w:pPr>
      <w:r w:rsidRPr="009F35EC">
        <w:rPr>
          <w:rFonts w:ascii="仿宋_GB2312" w:eastAsia="仿宋_GB2312" w:hAnsi="仿宋" w:cs="仿宋_GB2312" w:hint="eastAsia"/>
          <w:sz w:val="32"/>
          <w:szCs w:val="32"/>
        </w:rPr>
        <w:t>根据沿海地市与山区地市电动汽车发展需求和应用特点</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紧密结合不同领域、不同层次的充电需求</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遵循“市场主导、快慢互济”的技术导向</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科学把握发展节奏</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分类有序实施</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加大交通、市政、电力等公共资源整合力度</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合理布局充电基础设施</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降低建设成本</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节约土地资源。</w:t>
      </w:r>
    </w:p>
    <w:p w:rsidR="00291E4B" w:rsidRPr="0025459A" w:rsidRDefault="00291E4B" w:rsidP="00B54EF5">
      <w:pPr>
        <w:pStyle w:val="Heading3"/>
        <w:numPr>
          <w:ilvl w:val="0"/>
          <w:numId w:val="0"/>
        </w:numPr>
        <w:spacing w:before="0" w:after="0" w:line="360" w:lineRule="auto"/>
        <w:ind w:left="630"/>
        <w:rPr>
          <w:rFonts w:ascii="仿宋_GB2312" w:eastAsia="仿宋_GB2312" w:hAnsi="仿宋"/>
        </w:rPr>
      </w:pPr>
      <w:bookmarkStart w:id="75" w:name="_Toc440489401"/>
      <w:r>
        <w:rPr>
          <w:rFonts w:ascii="仿宋_GB2312" w:eastAsia="仿宋_GB2312" w:hAnsi="仿宋" w:cs="仿宋_GB2312" w:hint="eastAsia"/>
        </w:rPr>
        <w:t>二、立足当前，适度超前</w:t>
      </w:r>
      <w:bookmarkEnd w:id="75"/>
    </w:p>
    <w:p w:rsidR="00291E4B" w:rsidRPr="0025459A" w:rsidRDefault="00291E4B" w:rsidP="006F6AE2">
      <w:pPr>
        <w:spacing w:line="360" w:lineRule="auto"/>
        <w:ind w:firstLineChars="200" w:firstLine="31680"/>
        <w:rPr>
          <w:rFonts w:ascii="仿宋_GB2312" w:eastAsia="仿宋_GB2312" w:hAnsi="仿宋"/>
          <w:sz w:val="32"/>
          <w:szCs w:val="32"/>
        </w:rPr>
      </w:pPr>
      <w:r w:rsidRPr="009F35EC">
        <w:rPr>
          <w:rFonts w:ascii="仿宋_GB2312" w:eastAsia="仿宋_GB2312" w:hAnsi="仿宋" w:cs="仿宋_GB2312" w:hint="eastAsia"/>
          <w:sz w:val="32"/>
          <w:szCs w:val="32"/>
        </w:rPr>
        <w:t>从发展全局的高度进行整体统筹，建立政府有关部门与相关企业各司其职、各尽所能、群策群力、合作共赢的系统推进机制</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按照“桩站先行”的原则</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适度超前建设</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推进充电基础设施科学发展。</w:t>
      </w:r>
    </w:p>
    <w:p w:rsidR="00291E4B" w:rsidRPr="0025459A" w:rsidRDefault="00291E4B" w:rsidP="00B54EF5">
      <w:pPr>
        <w:pStyle w:val="Heading3"/>
        <w:numPr>
          <w:ilvl w:val="0"/>
          <w:numId w:val="0"/>
        </w:numPr>
        <w:spacing w:before="0" w:after="0" w:line="360" w:lineRule="auto"/>
        <w:ind w:left="630"/>
        <w:rPr>
          <w:rFonts w:ascii="仿宋_GB2312" w:eastAsia="仿宋_GB2312" w:hAnsi="仿宋"/>
        </w:rPr>
      </w:pPr>
      <w:bookmarkStart w:id="76" w:name="_Toc440489402"/>
      <w:r>
        <w:rPr>
          <w:rFonts w:ascii="仿宋_GB2312" w:eastAsia="仿宋_GB2312" w:hAnsi="仿宋" w:cs="仿宋_GB2312" w:hint="eastAsia"/>
        </w:rPr>
        <w:t>三、统一规范，互联互通</w:t>
      </w:r>
      <w:bookmarkEnd w:id="76"/>
    </w:p>
    <w:p w:rsidR="00291E4B" w:rsidRPr="0025459A" w:rsidRDefault="00291E4B" w:rsidP="006F6AE2">
      <w:pPr>
        <w:spacing w:line="360" w:lineRule="auto"/>
        <w:ind w:firstLineChars="200" w:firstLine="31680"/>
        <w:rPr>
          <w:rFonts w:ascii="仿宋_GB2312" w:eastAsia="仿宋_GB2312" w:hAnsi="仿宋"/>
          <w:sz w:val="32"/>
          <w:szCs w:val="32"/>
        </w:rPr>
      </w:pPr>
      <w:r w:rsidRPr="009F35EC">
        <w:rPr>
          <w:rFonts w:ascii="仿宋_GB2312" w:eastAsia="仿宋_GB2312" w:hAnsi="仿宋" w:cs="仿宋_GB2312" w:hint="eastAsia"/>
          <w:sz w:val="32"/>
          <w:szCs w:val="32"/>
        </w:rPr>
        <w:t>坚持按照国家标准建设充电基础设施</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为“车行天下”提供有力保障。规范充电基础设施建设运营</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理顺管理流程</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健全管理机制。实现充电服务平台之间的互联互通</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提高充电服务的通用性和开放性。</w:t>
      </w:r>
    </w:p>
    <w:p w:rsidR="00291E4B" w:rsidRPr="0025459A" w:rsidRDefault="00291E4B" w:rsidP="00B54EF5">
      <w:pPr>
        <w:pStyle w:val="Heading3"/>
        <w:numPr>
          <w:ilvl w:val="0"/>
          <w:numId w:val="0"/>
        </w:numPr>
        <w:spacing w:before="0" w:after="0" w:line="360" w:lineRule="auto"/>
        <w:ind w:left="568"/>
        <w:rPr>
          <w:rFonts w:ascii="仿宋_GB2312" w:eastAsia="仿宋_GB2312" w:hAnsi="仿宋"/>
        </w:rPr>
      </w:pPr>
      <w:bookmarkStart w:id="77" w:name="_Toc440489403"/>
      <w:r>
        <w:rPr>
          <w:rFonts w:ascii="仿宋_GB2312" w:eastAsia="仿宋_GB2312" w:hAnsi="仿宋" w:cs="仿宋_GB2312" w:hint="eastAsia"/>
        </w:rPr>
        <w:t>四、市场主导，创新机制</w:t>
      </w:r>
      <w:bookmarkEnd w:id="77"/>
    </w:p>
    <w:p w:rsidR="00291E4B" w:rsidRPr="0025459A" w:rsidRDefault="00291E4B" w:rsidP="006F6AE2">
      <w:pPr>
        <w:spacing w:line="360" w:lineRule="auto"/>
        <w:ind w:firstLineChars="200" w:firstLine="31680"/>
        <w:rPr>
          <w:rFonts w:ascii="仿宋_GB2312" w:eastAsia="仿宋_GB2312" w:hAnsi="仿宋"/>
          <w:sz w:val="32"/>
          <w:szCs w:val="32"/>
        </w:rPr>
      </w:pPr>
      <w:r w:rsidRPr="009F35EC">
        <w:rPr>
          <w:rFonts w:ascii="仿宋_GB2312" w:eastAsia="仿宋_GB2312" w:hAnsi="仿宋" w:cs="仿宋_GB2312" w:hint="eastAsia"/>
          <w:sz w:val="32"/>
          <w:szCs w:val="32"/>
        </w:rPr>
        <w:t>鼓励地方政府与企业发挥创新主体作用</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持续开展充电基础设施建设与运营模式创新。加快完善政策环境</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发挥市场主导作用</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鼓励引导社会资本参与</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激发市场活力。加强示范推广</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为充电基础设</w:t>
      </w:r>
      <w:r w:rsidRPr="009F35EC">
        <w:rPr>
          <w:rFonts w:ascii="仿宋_GB2312" w:eastAsia="仿宋_GB2312" w:hAnsi="仿宋" w:cs="仿宋_GB2312"/>
          <w:sz w:val="32"/>
          <w:szCs w:val="32"/>
        </w:rPr>
        <w:t xml:space="preserve"> </w:t>
      </w:r>
      <w:r w:rsidRPr="009F35EC">
        <w:rPr>
          <w:rFonts w:ascii="仿宋_GB2312" w:eastAsia="仿宋_GB2312" w:hAnsi="仿宋" w:cs="仿宋_GB2312" w:hint="eastAsia"/>
          <w:sz w:val="32"/>
          <w:szCs w:val="32"/>
        </w:rPr>
        <w:t>施发展探索新途径</w:t>
      </w:r>
      <w:r w:rsidRPr="009F35EC">
        <w:rPr>
          <w:rFonts w:ascii="仿宋_GB2312" w:eastAsia="仿宋_GB2312" w:hAnsi="仿宋" w:cs="仿宋_GB2312"/>
          <w:sz w:val="32"/>
          <w:szCs w:val="32"/>
        </w:rPr>
        <w:t>,</w:t>
      </w:r>
      <w:r w:rsidRPr="009F35EC">
        <w:rPr>
          <w:rFonts w:ascii="仿宋_GB2312" w:eastAsia="仿宋_GB2312" w:hAnsi="仿宋" w:cs="仿宋_GB2312" w:hint="eastAsia"/>
          <w:sz w:val="32"/>
          <w:szCs w:val="32"/>
        </w:rPr>
        <w:t>积累新经验。</w:t>
      </w:r>
    </w:p>
    <w:p w:rsidR="00291E4B" w:rsidRPr="0025459A" w:rsidRDefault="00291E4B" w:rsidP="00B54EF5">
      <w:pPr>
        <w:pStyle w:val="Heading2"/>
        <w:rPr>
          <w:rFonts w:cs="Times New Roman"/>
        </w:rPr>
      </w:pPr>
      <w:r>
        <w:t xml:space="preserve">  </w:t>
      </w:r>
      <w:bookmarkStart w:id="78" w:name="_Toc462643634"/>
      <w:r>
        <w:rPr>
          <w:rFonts w:cs="黑体" w:hint="eastAsia"/>
        </w:rPr>
        <w:t>总体目标</w:t>
      </w:r>
      <w:bookmarkEnd w:id="78"/>
    </w:p>
    <w:p w:rsidR="00291E4B" w:rsidRPr="0025459A" w:rsidRDefault="00291E4B" w:rsidP="006F6AE2">
      <w:pPr>
        <w:spacing w:line="360" w:lineRule="auto"/>
        <w:ind w:firstLineChars="200" w:firstLine="31680"/>
        <w:rPr>
          <w:rFonts w:ascii="仿宋_GB2312" w:eastAsia="仿宋_GB2312" w:hAnsi="仿宋"/>
          <w:sz w:val="32"/>
          <w:szCs w:val="32"/>
        </w:rPr>
      </w:pPr>
      <w:r w:rsidRPr="009F35EC">
        <w:rPr>
          <w:rFonts w:ascii="仿宋_GB2312" w:eastAsia="仿宋_GB2312" w:hAnsi="仿宋" w:cs="仿宋_GB2312" w:hint="eastAsia"/>
          <w:sz w:val="32"/>
          <w:szCs w:val="32"/>
        </w:rPr>
        <w:t>根据需求预测及设施布局结果，按照适度超前原则，到</w:t>
      </w:r>
      <w:r w:rsidRPr="009F35EC">
        <w:rPr>
          <w:rFonts w:ascii="仿宋_GB2312" w:eastAsia="仿宋_GB2312" w:hAnsi="仿宋" w:cs="仿宋_GB2312"/>
          <w:sz w:val="32"/>
          <w:szCs w:val="32"/>
        </w:rPr>
        <w:t>2020</w:t>
      </w:r>
      <w:r w:rsidRPr="009F35EC">
        <w:rPr>
          <w:rFonts w:ascii="仿宋_GB2312" w:eastAsia="仿宋_GB2312" w:hAnsi="仿宋" w:cs="仿宋_GB2312" w:hint="eastAsia"/>
          <w:sz w:val="32"/>
          <w:szCs w:val="32"/>
        </w:rPr>
        <w:t>年，新增集中式充电站</w:t>
      </w:r>
      <w:r w:rsidRPr="009F35EC">
        <w:rPr>
          <w:rFonts w:ascii="仿宋_GB2312" w:eastAsia="仿宋_GB2312" w:hAnsi="仿宋" w:cs="仿宋_GB2312"/>
          <w:sz w:val="32"/>
          <w:szCs w:val="32"/>
        </w:rPr>
        <w:t>1</w:t>
      </w:r>
      <w:r>
        <w:rPr>
          <w:rFonts w:ascii="仿宋_GB2312" w:eastAsia="仿宋_GB2312" w:hAnsi="仿宋" w:cs="仿宋_GB2312"/>
          <w:sz w:val="32"/>
          <w:szCs w:val="32"/>
        </w:rPr>
        <w:t>26</w:t>
      </w:r>
      <w:r w:rsidRPr="009F35EC">
        <w:rPr>
          <w:rFonts w:ascii="仿宋_GB2312" w:eastAsia="仿宋_GB2312" w:hAnsi="仿宋" w:cs="仿宋_GB2312" w:hint="eastAsia"/>
          <w:sz w:val="32"/>
          <w:szCs w:val="32"/>
        </w:rPr>
        <w:t>～</w:t>
      </w:r>
      <w:r w:rsidRPr="009F35EC">
        <w:rPr>
          <w:rFonts w:ascii="仿宋_GB2312" w:eastAsia="仿宋_GB2312" w:hAnsi="仿宋" w:cs="仿宋_GB2312"/>
          <w:sz w:val="32"/>
          <w:szCs w:val="32"/>
        </w:rPr>
        <w:t>1</w:t>
      </w:r>
      <w:r>
        <w:rPr>
          <w:rFonts w:ascii="仿宋_GB2312" w:eastAsia="仿宋_GB2312" w:hAnsi="仿宋" w:cs="仿宋_GB2312"/>
          <w:sz w:val="32"/>
          <w:szCs w:val="32"/>
        </w:rPr>
        <w:t>45</w:t>
      </w:r>
      <w:r w:rsidRPr="009F35EC">
        <w:rPr>
          <w:rFonts w:ascii="仿宋_GB2312" w:eastAsia="仿宋_GB2312" w:hAnsi="仿宋" w:cs="仿宋_GB2312" w:hint="eastAsia"/>
          <w:sz w:val="32"/>
          <w:szCs w:val="32"/>
        </w:rPr>
        <w:t>座，分散式充电桩</w:t>
      </w:r>
      <w:r w:rsidRPr="009F35EC">
        <w:rPr>
          <w:rFonts w:ascii="仿宋_GB2312" w:eastAsia="仿宋_GB2312" w:hAnsi="仿宋" w:cs="仿宋_GB2312"/>
          <w:sz w:val="32"/>
          <w:szCs w:val="32"/>
        </w:rPr>
        <w:t>2.5</w:t>
      </w:r>
      <w:r w:rsidRPr="009F35EC">
        <w:rPr>
          <w:rFonts w:ascii="仿宋_GB2312" w:eastAsia="仿宋_GB2312" w:hAnsi="仿宋" w:cs="仿宋_GB2312" w:hint="eastAsia"/>
          <w:sz w:val="32"/>
          <w:szCs w:val="32"/>
        </w:rPr>
        <w:t>～</w:t>
      </w:r>
      <w:r w:rsidRPr="009F35EC">
        <w:rPr>
          <w:rFonts w:ascii="仿宋_GB2312" w:eastAsia="仿宋_GB2312" w:hAnsi="仿宋" w:cs="仿宋_GB2312"/>
          <w:sz w:val="32"/>
          <w:szCs w:val="32"/>
        </w:rPr>
        <w:t>3.1</w:t>
      </w:r>
      <w:r w:rsidRPr="009F35EC">
        <w:rPr>
          <w:rFonts w:ascii="仿宋_GB2312" w:eastAsia="仿宋_GB2312" w:hAnsi="仿宋" w:cs="仿宋_GB2312" w:hint="eastAsia"/>
          <w:sz w:val="32"/>
          <w:szCs w:val="32"/>
        </w:rPr>
        <w:t>万个，以满足福州市</w:t>
      </w:r>
      <w:r w:rsidRPr="009F35EC">
        <w:rPr>
          <w:rFonts w:ascii="仿宋_GB2312" w:eastAsia="仿宋_GB2312" w:hAnsi="仿宋" w:cs="仿宋_GB2312"/>
          <w:sz w:val="32"/>
          <w:szCs w:val="32"/>
        </w:rPr>
        <w:t>2.8</w:t>
      </w:r>
      <w:r w:rsidRPr="009F35EC">
        <w:rPr>
          <w:rFonts w:ascii="仿宋_GB2312" w:eastAsia="仿宋_GB2312" w:hAnsi="仿宋" w:cs="仿宋_GB2312" w:hint="eastAsia"/>
          <w:sz w:val="32"/>
          <w:szCs w:val="32"/>
        </w:rPr>
        <w:t>～</w:t>
      </w:r>
      <w:r w:rsidRPr="009F35EC">
        <w:rPr>
          <w:rFonts w:ascii="仿宋_GB2312" w:eastAsia="仿宋_GB2312" w:hAnsi="仿宋" w:cs="仿宋_GB2312"/>
          <w:sz w:val="32"/>
          <w:szCs w:val="32"/>
        </w:rPr>
        <w:t>3.5</w:t>
      </w:r>
      <w:r w:rsidRPr="009F35EC">
        <w:rPr>
          <w:rFonts w:ascii="仿宋_GB2312" w:eastAsia="仿宋_GB2312" w:hAnsi="仿宋" w:cs="仿宋_GB2312" w:hint="eastAsia"/>
          <w:sz w:val="32"/>
          <w:szCs w:val="32"/>
        </w:rPr>
        <w:t>万辆电动汽车的充电需求。</w:t>
      </w:r>
    </w:p>
    <w:p w:rsidR="00291E4B" w:rsidRPr="0025459A" w:rsidRDefault="00291E4B" w:rsidP="006F6AE2">
      <w:pPr>
        <w:spacing w:line="360" w:lineRule="auto"/>
        <w:ind w:firstLineChars="200" w:firstLine="31680"/>
        <w:rPr>
          <w:rFonts w:ascii="仿宋_GB2312" w:eastAsia="仿宋_GB2312" w:hAnsi="仿宋"/>
          <w:sz w:val="32"/>
          <w:szCs w:val="32"/>
        </w:rPr>
      </w:pPr>
      <w:r w:rsidRPr="009F35EC">
        <w:rPr>
          <w:rFonts w:ascii="仿宋_GB2312" w:eastAsia="仿宋_GB2312" w:hAnsi="仿宋" w:cs="仿宋_GB2312" w:hint="eastAsia"/>
          <w:sz w:val="32"/>
          <w:szCs w:val="32"/>
        </w:rPr>
        <w:t>优先建设公交、环卫与物流等公共服务领域充电基础设施，新增</w:t>
      </w:r>
      <w:r w:rsidRPr="009F35EC">
        <w:rPr>
          <w:rFonts w:ascii="仿宋_GB2312" w:eastAsia="仿宋_GB2312" w:hAnsi="仿宋" w:cs="仿宋_GB2312"/>
          <w:sz w:val="32"/>
          <w:szCs w:val="32"/>
        </w:rPr>
        <w:t>50</w:t>
      </w:r>
      <w:r w:rsidRPr="009F35EC">
        <w:rPr>
          <w:rFonts w:ascii="仿宋_GB2312" w:eastAsia="仿宋_GB2312" w:hAnsi="仿宋" w:cs="仿宋_GB2312" w:hint="eastAsia"/>
          <w:sz w:val="32"/>
          <w:szCs w:val="32"/>
        </w:rPr>
        <w:t>座公交车充电站，</w:t>
      </w:r>
      <w:r w:rsidRPr="009F35EC">
        <w:rPr>
          <w:rFonts w:ascii="仿宋_GB2312" w:eastAsia="仿宋_GB2312" w:hAnsi="仿宋" w:cs="仿宋_GB2312"/>
          <w:sz w:val="32"/>
          <w:szCs w:val="32"/>
        </w:rPr>
        <w:t>800</w:t>
      </w:r>
      <w:r w:rsidRPr="009F35EC">
        <w:rPr>
          <w:rFonts w:ascii="仿宋_GB2312" w:eastAsia="仿宋_GB2312" w:hAnsi="仿宋" w:cs="仿宋_GB2312" w:hint="eastAsia"/>
          <w:sz w:val="32"/>
          <w:szCs w:val="32"/>
        </w:rPr>
        <w:t>～</w:t>
      </w:r>
      <w:r w:rsidRPr="009F35EC">
        <w:rPr>
          <w:rFonts w:ascii="仿宋_GB2312" w:eastAsia="仿宋_GB2312" w:hAnsi="仿宋" w:cs="仿宋_GB2312"/>
          <w:sz w:val="32"/>
          <w:szCs w:val="32"/>
        </w:rPr>
        <w:t>1000</w:t>
      </w:r>
      <w:r w:rsidRPr="009F35EC">
        <w:rPr>
          <w:rFonts w:ascii="仿宋_GB2312" w:eastAsia="仿宋_GB2312" w:hAnsi="仿宋" w:cs="仿宋_GB2312" w:hint="eastAsia"/>
          <w:sz w:val="32"/>
          <w:szCs w:val="32"/>
        </w:rPr>
        <w:t>个环卫物流等专用车充电桩。鼓励有条件的设施对社会公众开放。</w:t>
      </w:r>
    </w:p>
    <w:p w:rsidR="00291E4B" w:rsidRPr="0025459A" w:rsidRDefault="00291E4B" w:rsidP="006F6AE2">
      <w:pPr>
        <w:spacing w:line="360" w:lineRule="auto"/>
        <w:ind w:firstLineChars="200" w:firstLine="31680"/>
        <w:rPr>
          <w:rFonts w:ascii="仿宋_GB2312" w:eastAsia="仿宋_GB2312" w:hAnsi="仿宋"/>
          <w:sz w:val="32"/>
          <w:szCs w:val="32"/>
        </w:rPr>
      </w:pPr>
      <w:r w:rsidRPr="009F35EC">
        <w:rPr>
          <w:rFonts w:ascii="仿宋_GB2312" w:eastAsia="仿宋_GB2312" w:hAnsi="仿宋" w:cs="仿宋_GB2312" w:hint="eastAsia"/>
          <w:sz w:val="32"/>
          <w:szCs w:val="32"/>
        </w:rPr>
        <w:t>积极推进公务与乘用车用户结合居民区与单位停车位配</w:t>
      </w:r>
      <w:r>
        <w:rPr>
          <w:rFonts w:ascii="仿宋_GB2312" w:eastAsia="仿宋_GB2312" w:hAnsi="仿宋" w:cs="仿宋_GB2312" w:hint="eastAsia"/>
          <w:sz w:val="32"/>
          <w:szCs w:val="32"/>
        </w:rPr>
        <w:t>建</w:t>
      </w:r>
      <w:r w:rsidRPr="009F35EC">
        <w:rPr>
          <w:rFonts w:ascii="仿宋_GB2312" w:eastAsia="仿宋_GB2312" w:hAnsi="仿宋" w:cs="仿宋_GB2312" w:hint="eastAsia"/>
          <w:sz w:val="32"/>
          <w:szCs w:val="32"/>
        </w:rPr>
        <w:t>充电桩，新增</w:t>
      </w:r>
      <w:r w:rsidRPr="009F35EC">
        <w:rPr>
          <w:rFonts w:ascii="仿宋_GB2312" w:eastAsia="仿宋_GB2312" w:hAnsi="仿宋" w:cs="仿宋_GB2312"/>
          <w:sz w:val="32"/>
          <w:szCs w:val="32"/>
        </w:rPr>
        <w:t>2.4</w:t>
      </w:r>
      <w:r w:rsidRPr="009F35EC">
        <w:rPr>
          <w:rFonts w:ascii="仿宋_GB2312" w:eastAsia="仿宋_GB2312" w:hAnsi="仿宋" w:cs="仿宋_GB2312" w:hint="eastAsia"/>
          <w:sz w:val="32"/>
          <w:szCs w:val="32"/>
        </w:rPr>
        <w:t>～</w:t>
      </w:r>
      <w:r w:rsidRPr="009F35EC">
        <w:rPr>
          <w:rFonts w:ascii="仿宋_GB2312" w:eastAsia="仿宋_GB2312" w:hAnsi="仿宋" w:cs="仿宋_GB2312"/>
          <w:sz w:val="32"/>
          <w:szCs w:val="32"/>
        </w:rPr>
        <w:t>3</w:t>
      </w:r>
      <w:r w:rsidRPr="009F35EC">
        <w:rPr>
          <w:rFonts w:ascii="仿宋_GB2312" w:eastAsia="仿宋_GB2312" w:hAnsi="仿宋" w:cs="仿宋_GB2312" w:hint="eastAsia"/>
          <w:sz w:val="32"/>
          <w:szCs w:val="32"/>
        </w:rPr>
        <w:t>万个用户专用充电桩，以满足基本充电需求。鼓励有条件的设施对社会公众开放。</w:t>
      </w:r>
    </w:p>
    <w:p w:rsidR="00291E4B" w:rsidRDefault="00291E4B" w:rsidP="006F6AE2">
      <w:pPr>
        <w:spacing w:line="360" w:lineRule="auto"/>
        <w:ind w:firstLineChars="200" w:firstLine="31680"/>
        <w:rPr>
          <w:rFonts w:ascii="仿宋_GB2312" w:eastAsia="仿宋_GB2312" w:hAnsi="仿宋"/>
          <w:sz w:val="32"/>
          <w:szCs w:val="32"/>
        </w:rPr>
      </w:pPr>
      <w:r w:rsidRPr="009F35EC">
        <w:rPr>
          <w:rFonts w:ascii="仿宋_GB2312" w:eastAsia="仿宋_GB2312" w:hAnsi="仿宋" w:cs="仿宋_GB2312" w:hint="eastAsia"/>
          <w:sz w:val="32"/>
          <w:szCs w:val="32"/>
        </w:rPr>
        <w:t>合理布局社会停车场所公共充电基础设施，按照适度超前原则，新增</w:t>
      </w:r>
      <w:r w:rsidRPr="009F35EC">
        <w:rPr>
          <w:rFonts w:ascii="仿宋_GB2312" w:eastAsia="仿宋_GB2312" w:hAnsi="仿宋" w:cs="仿宋_GB2312"/>
          <w:sz w:val="32"/>
          <w:szCs w:val="32"/>
        </w:rPr>
        <w:t>50</w:t>
      </w:r>
      <w:r w:rsidRPr="009F35EC">
        <w:rPr>
          <w:rFonts w:ascii="仿宋_GB2312" w:eastAsia="仿宋_GB2312" w:hAnsi="仿宋" w:cs="仿宋_GB2312" w:hint="eastAsia"/>
          <w:sz w:val="32"/>
          <w:szCs w:val="32"/>
        </w:rPr>
        <w:t>～</w:t>
      </w:r>
      <w:r w:rsidRPr="009F35EC">
        <w:rPr>
          <w:rFonts w:ascii="仿宋_GB2312" w:eastAsia="仿宋_GB2312" w:hAnsi="仿宋" w:cs="仿宋_GB2312"/>
          <w:sz w:val="32"/>
          <w:szCs w:val="32"/>
        </w:rPr>
        <w:t>69</w:t>
      </w:r>
      <w:r w:rsidRPr="009F35EC">
        <w:rPr>
          <w:rFonts w:ascii="仿宋_GB2312" w:eastAsia="仿宋_GB2312" w:hAnsi="仿宋" w:cs="仿宋_GB2312" w:hint="eastAsia"/>
          <w:sz w:val="32"/>
          <w:szCs w:val="32"/>
        </w:rPr>
        <w:t>座城市公共充电站，以满足临时补电需要。</w:t>
      </w:r>
    </w:p>
    <w:p w:rsidR="00291E4B" w:rsidRPr="00165996" w:rsidRDefault="00291E4B" w:rsidP="006F6AE2">
      <w:pPr>
        <w:spacing w:line="360" w:lineRule="auto"/>
        <w:ind w:firstLineChars="200" w:firstLine="31680"/>
      </w:pPr>
      <w:r w:rsidRPr="00C95A80">
        <w:rPr>
          <w:rFonts w:ascii="仿宋_GB2312" w:eastAsia="仿宋_GB2312" w:hAnsi="仿宋" w:cs="仿宋_GB2312" w:hint="eastAsia"/>
          <w:sz w:val="32"/>
          <w:szCs w:val="32"/>
        </w:rPr>
        <w:t>结合</w:t>
      </w:r>
      <w:r>
        <w:rPr>
          <w:rFonts w:ascii="仿宋_GB2312" w:eastAsia="仿宋_GB2312" w:hAnsi="仿宋" w:cs="仿宋_GB2312" w:hint="eastAsia"/>
          <w:sz w:val="32"/>
          <w:szCs w:val="32"/>
        </w:rPr>
        <w:t>高速公路服务区及</w:t>
      </w:r>
      <w:r w:rsidRPr="0025459A">
        <w:rPr>
          <w:rFonts w:ascii="仿宋_GB2312" w:eastAsia="仿宋_GB2312" w:hAnsi="仿宋" w:cs="仿宋_GB2312" w:hint="eastAsia"/>
          <w:sz w:val="32"/>
          <w:szCs w:val="32"/>
        </w:rPr>
        <w:t>国省干线</w:t>
      </w:r>
      <w:r w:rsidRPr="00C95A80">
        <w:rPr>
          <w:rFonts w:ascii="仿宋_GB2312" w:eastAsia="仿宋_GB2312" w:hAnsi="仿宋" w:cs="仿宋_GB2312" w:hint="eastAsia"/>
          <w:sz w:val="32"/>
          <w:szCs w:val="32"/>
        </w:rPr>
        <w:t>等，建设</w:t>
      </w:r>
      <w:r>
        <w:rPr>
          <w:rFonts w:ascii="仿宋_GB2312" w:eastAsia="仿宋_GB2312" w:hAnsi="仿宋" w:cs="仿宋_GB2312" w:hint="eastAsia"/>
          <w:sz w:val="32"/>
          <w:szCs w:val="32"/>
        </w:rPr>
        <w:t>不少于</w:t>
      </w:r>
      <w:r>
        <w:rPr>
          <w:rFonts w:ascii="仿宋_GB2312" w:eastAsia="仿宋_GB2312" w:hAnsi="仿宋" w:cs="仿宋_GB2312"/>
          <w:sz w:val="32"/>
          <w:szCs w:val="32"/>
        </w:rPr>
        <w:t>26</w:t>
      </w:r>
      <w:r w:rsidRPr="00C95A80">
        <w:rPr>
          <w:rFonts w:ascii="仿宋_GB2312" w:eastAsia="仿宋_GB2312" w:hAnsi="仿宋" w:cs="仿宋_GB2312" w:hint="eastAsia"/>
          <w:sz w:val="32"/>
          <w:szCs w:val="32"/>
        </w:rPr>
        <w:t>座城际快充站，以满足城际出行需要。</w:t>
      </w:r>
    </w:p>
    <w:p w:rsidR="00291E4B" w:rsidRPr="0025459A" w:rsidRDefault="00291E4B" w:rsidP="009E25FD">
      <w:pPr>
        <w:tabs>
          <w:tab w:val="left" w:pos="1274"/>
        </w:tabs>
        <w:spacing w:line="360" w:lineRule="auto"/>
        <w:jc w:val="center"/>
        <w:rPr>
          <w:rFonts w:ascii="仿宋_GB2312" w:eastAsia="仿宋_GB2312"/>
          <w:sz w:val="30"/>
          <w:szCs w:val="30"/>
        </w:rPr>
      </w:pPr>
    </w:p>
    <w:p w:rsidR="00291E4B" w:rsidRPr="0025459A" w:rsidRDefault="00291E4B" w:rsidP="006C7A66">
      <w:pPr>
        <w:pStyle w:val="Heading1"/>
        <w:jc w:val="center"/>
        <w:rPr>
          <w:rFonts w:ascii="黑体" w:eastAsia="黑体"/>
          <w:sz w:val="32"/>
          <w:szCs w:val="32"/>
        </w:rPr>
      </w:pPr>
      <w:bookmarkStart w:id="79" w:name="_Toc462643635"/>
      <w:r w:rsidRPr="009F35EC">
        <w:rPr>
          <w:rFonts w:ascii="黑体" w:eastAsia="黑体" w:cs="黑体" w:hint="eastAsia"/>
          <w:sz w:val="32"/>
          <w:szCs w:val="32"/>
        </w:rPr>
        <w:t>规划实施</w:t>
      </w:r>
      <w:bookmarkEnd w:id="79"/>
    </w:p>
    <w:p w:rsidR="00291E4B" w:rsidRPr="0025459A" w:rsidRDefault="00291E4B" w:rsidP="00A03429">
      <w:pPr>
        <w:pStyle w:val="Heading2"/>
        <w:rPr>
          <w:rFonts w:cs="Times New Roman"/>
        </w:rPr>
      </w:pPr>
      <w:r w:rsidRPr="009F35EC">
        <w:t xml:space="preserve">  </w:t>
      </w:r>
      <w:bookmarkStart w:id="80" w:name="_Toc462643636"/>
      <w:r w:rsidRPr="009F35EC">
        <w:rPr>
          <w:rFonts w:cs="黑体" w:hint="eastAsia"/>
        </w:rPr>
        <w:t>重点任务</w:t>
      </w:r>
      <w:bookmarkEnd w:id="80"/>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福州作为福建省省会城市、省充电基础设施重点发展区域，“十三五”期间将结合福州新区规划及停车场规划，对福州充电基础设施规划期内重点任务分解如下：</w:t>
      </w:r>
    </w:p>
    <w:p w:rsidR="00291E4B" w:rsidRPr="0025459A" w:rsidRDefault="00291E4B" w:rsidP="006F6AE2">
      <w:pPr>
        <w:spacing w:line="360" w:lineRule="auto"/>
        <w:ind w:firstLineChars="200" w:firstLine="31680"/>
        <w:rPr>
          <w:rFonts w:ascii="仿宋_GB2312" w:eastAsia="仿宋_GB2312" w:hAnsi="仿宋"/>
          <w:b/>
          <w:bCs/>
          <w:sz w:val="32"/>
          <w:szCs w:val="32"/>
        </w:rPr>
      </w:pPr>
      <w:bookmarkStart w:id="81" w:name="_Toc442297153"/>
      <w:r>
        <w:rPr>
          <w:rFonts w:ascii="仿宋_GB2312" w:eastAsia="仿宋_GB2312" w:hAnsi="仿宋" w:cs="仿宋_GB2312" w:hint="eastAsia"/>
          <w:b/>
          <w:bCs/>
          <w:sz w:val="32"/>
          <w:szCs w:val="32"/>
        </w:rPr>
        <w:t>一、推动充电基础设施体系建设</w:t>
      </w:r>
      <w:bookmarkEnd w:id="81"/>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按照“专（自）用为主、公用为辅，快慢结合”的原则，逐步形成以公交、出租及环卫与物流、公务等专用车辆充电设施为主；以公共停车位等公用充电站为辅的充电服务网络，并在交通主干道上建设区县间交通衔接的充电基础设施，满足电动汽车区县间通行需求。</w:t>
      </w:r>
    </w:p>
    <w:p w:rsidR="00291E4B" w:rsidRPr="0025459A" w:rsidRDefault="00291E4B" w:rsidP="006F6AE2">
      <w:pPr>
        <w:spacing w:line="360" w:lineRule="auto"/>
        <w:ind w:firstLineChars="200" w:firstLine="31680"/>
        <w:rPr>
          <w:rFonts w:ascii="仿宋_GB2312" w:eastAsia="仿宋_GB2312" w:hAnsi="仿宋"/>
          <w:b/>
          <w:bCs/>
          <w:sz w:val="32"/>
          <w:szCs w:val="32"/>
        </w:rPr>
      </w:pPr>
      <w:r>
        <w:rPr>
          <w:rFonts w:ascii="仿宋_GB2312" w:eastAsia="仿宋_GB2312" w:hAnsi="仿宋" w:cs="仿宋_GB2312" w:hint="eastAsia"/>
          <w:b/>
          <w:bCs/>
          <w:sz w:val="32"/>
          <w:szCs w:val="32"/>
        </w:rPr>
        <w:t>（一）着力推进公共服务领域充电基础设施建设</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全力推动公交、环卫、物流及公安巡逻等公共服务领域电动汽车充电基础设施建设。公交车充电设施应根据线路运营需求</w:t>
      </w:r>
      <w:r>
        <w:rPr>
          <w:rFonts w:ascii="仿宋_GB2312" w:eastAsia="仿宋_GB2312" w:hAnsi="仿宋" w:cs="仿宋_GB2312"/>
          <w:sz w:val="32"/>
          <w:szCs w:val="32"/>
        </w:rPr>
        <w:t>,</w:t>
      </w:r>
      <w:r>
        <w:rPr>
          <w:rFonts w:ascii="仿宋_GB2312" w:eastAsia="仿宋_GB2312" w:hAnsi="仿宋" w:cs="仿宋_GB2312" w:hint="eastAsia"/>
          <w:sz w:val="32"/>
          <w:szCs w:val="32"/>
        </w:rPr>
        <w:t>结合公交场站建设充电基础设施，不设独立占地充电站</w:t>
      </w:r>
      <w:r>
        <w:rPr>
          <w:rFonts w:ascii="仿宋_GB2312" w:eastAsia="仿宋_GB2312" w:hAnsi="仿宋" w:cs="仿宋_GB2312"/>
          <w:sz w:val="32"/>
          <w:szCs w:val="32"/>
        </w:rPr>
        <w:t>;</w:t>
      </w:r>
      <w:r>
        <w:rPr>
          <w:rFonts w:ascii="仿宋_GB2312" w:eastAsia="仿宋_GB2312" w:hAnsi="仿宋" w:cs="仿宋_GB2312" w:hint="eastAsia"/>
          <w:sz w:val="32"/>
          <w:szCs w:val="32"/>
        </w:rPr>
        <w:t>对于物流、租赁、公安巡逻等非定点定线运行的公共服务领域电动汽车</w:t>
      </w:r>
      <w:r>
        <w:rPr>
          <w:rFonts w:ascii="仿宋_GB2312" w:eastAsia="仿宋_GB2312" w:hAnsi="仿宋" w:cs="仿宋_GB2312"/>
          <w:sz w:val="32"/>
          <w:szCs w:val="32"/>
        </w:rPr>
        <w:t>,</w:t>
      </w:r>
      <w:r>
        <w:rPr>
          <w:rFonts w:ascii="仿宋_GB2312" w:eastAsia="仿宋_GB2312" w:hAnsi="仿宋" w:cs="仿宋_GB2312" w:hint="eastAsia"/>
          <w:sz w:val="32"/>
          <w:szCs w:val="32"/>
        </w:rPr>
        <w:t>应充分挖掘有关单位内部停车场站配建充电基础设施的潜力，有条件的充电设施可考虑对外开放。</w:t>
      </w:r>
    </w:p>
    <w:p w:rsidR="00291E4B" w:rsidRPr="0025459A" w:rsidRDefault="00291E4B" w:rsidP="006F6AE2">
      <w:pPr>
        <w:spacing w:line="360" w:lineRule="auto"/>
        <w:ind w:firstLineChars="200" w:firstLine="31680"/>
        <w:rPr>
          <w:rFonts w:ascii="仿宋_GB2312" w:eastAsia="仿宋_GB2312" w:hAnsi="仿宋"/>
          <w:b/>
          <w:bCs/>
          <w:sz w:val="32"/>
          <w:szCs w:val="32"/>
        </w:rPr>
      </w:pPr>
      <w:r>
        <w:rPr>
          <w:rFonts w:ascii="仿宋_GB2312" w:eastAsia="仿宋_GB2312" w:hAnsi="仿宋" w:cs="仿宋_GB2312" w:hint="eastAsia"/>
          <w:b/>
          <w:bCs/>
          <w:sz w:val="32"/>
          <w:szCs w:val="32"/>
        </w:rPr>
        <w:t>（二）加快推动用户居住地充电基础设施建设</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按照《福建省电动汽车充电基础设施建设运营管理暂行办法》第十条要求，对新建住宅配建相应数量的充电桩。对于无固定停车位的用户</w:t>
      </w:r>
      <w:r>
        <w:rPr>
          <w:rFonts w:ascii="仿宋_GB2312" w:eastAsia="仿宋_GB2312" w:hAnsi="仿宋" w:cs="仿宋_GB2312"/>
          <w:sz w:val="32"/>
          <w:szCs w:val="32"/>
        </w:rPr>
        <w:t>,</w:t>
      </w:r>
      <w:r>
        <w:rPr>
          <w:rFonts w:ascii="仿宋_GB2312" w:eastAsia="仿宋_GB2312" w:hAnsi="仿宋" w:cs="仿宋_GB2312" w:hint="eastAsia"/>
          <w:sz w:val="32"/>
          <w:szCs w:val="32"/>
        </w:rPr>
        <w:t>鼓励企业通过配建一定比例的公共充电车位</w:t>
      </w:r>
      <w:r>
        <w:rPr>
          <w:rFonts w:ascii="仿宋_GB2312" w:eastAsia="仿宋_GB2312" w:hAnsi="仿宋" w:cs="仿宋_GB2312"/>
          <w:sz w:val="32"/>
          <w:szCs w:val="32"/>
        </w:rPr>
        <w:t>,</w:t>
      </w:r>
      <w:r>
        <w:rPr>
          <w:rFonts w:ascii="仿宋_GB2312" w:eastAsia="仿宋_GB2312" w:hAnsi="仿宋" w:cs="仿宋_GB2312" w:hint="eastAsia"/>
          <w:sz w:val="32"/>
          <w:szCs w:val="32"/>
        </w:rPr>
        <w:t>建立充电车位的分时共享机制</w:t>
      </w:r>
      <w:r>
        <w:rPr>
          <w:rFonts w:ascii="仿宋_GB2312" w:eastAsia="仿宋_GB2312" w:hAnsi="仿宋" w:cs="仿宋_GB2312"/>
          <w:sz w:val="32"/>
          <w:szCs w:val="32"/>
        </w:rPr>
        <w:t>,</w:t>
      </w:r>
      <w:r>
        <w:rPr>
          <w:rFonts w:ascii="仿宋_GB2312" w:eastAsia="仿宋_GB2312" w:hAnsi="仿宋" w:cs="仿宋_GB2312" w:hint="eastAsia"/>
          <w:sz w:val="32"/>
          <w:szCs w:val="32"/>
        </w:rPr>
        <w:t>开展机械式和立体式停车充电一体化设施建设与改造等方式为用户充电创造条件。引导充电服务、物业服务等相关企业参与居民区的充电基础设施建设与运营</w:t>
      </w:r>
      <w:r>
        <w:rPr>
          <w:rFonts w:ascii="仿宋_GB2312" w:eastAsia="仿宋_GB2312" w:hAnsi="仿宋" w:cs="仿宋_GB2312"/>
          <w:sz w:val="32"/>
          <w:szCs w:val="32"/>
        </w:rPr>
        <w:t>,</w:t>
      </w:r>
      <w:r>
        <w:rPr>
          <w:rFonts w:ascii="仿宋_GB2312" w:eastAsia="仿宋_GB2312" w:hAnsi="仿宋" w:cs="仿宋_GB2312" w:hint="eastAsia"/>
          <w:sz w:val="32"/>
          <w:szCs w:val="32"/>
        </w:rPr>
        <w:t>鼓励企业统一开展停车位改造和直接办理报装接电手续</w:t>
      </w:r>
      <w:r>
        <w:rPr>
          <w:rFonts w:ascii="仿宋_GB2312" w:eastAsia="仿宋_GB2312" w:hAnsi="仿宋" w:cs="仿宋_GB2312"/>
          <w:sz w:val="32"/>
          <w:szCs w:val="32"/>
        </w:rPr>
        <w:t>,</w:t>
      </w:r>
      <w:r>
        <w:rPr>
          <w:rFonts w:ascii="仿宋_GB2312" w:eastAsia="仿宋_GB2312" w:hAnsi="仿宋" w:cs="仿宋_GB2312" w:hint="eastAsia"/>
          <w:sz w:val="32"/>
          <w:szCs w:val="32"/>
        </w:rPr>
        <w:t>允许企业在不违反相关法规的前提下向用户按不高于政府指导价收费</w:t>
      </w:r>
      <w:r>
        <w:rPr>
          <w:rFonts w:ascii="仿宋_GB2312" w:eastAsia="仿宋_GB2312" w:hAnsi="仿宋" w:cs="仿宋_GB2312"/>
          <w:sz w:val="32"/>
          <w:szCs w:val="32"/>
        </w:rPr>
        <w:t>,</w:t>
      </w:r>
      <w:r>
        <w:rPr>
          <w:rFonts w:ascii="仿宋_GB2312" w:eastAsia="仿宋_GB2312" w:hAnsi="仿宋" w:cs="仿宋_GB2312" w:hint="eastAsia"/>
          <w:sz w:val="32"/>
          <w:szCs w:val="32"/>
        </w:rPr>
        <w:t>建立合理反映各方“责、权、利”的市场化推进机制</w:t>
      </w:r>
      <w:r>
        <w:rPr>
          <w:rFonts w:ascii="仿宋_GB2312" w:eastAsia="仿宋_GB2312" w:hAnsi="仿宋" w:cs="仿宋_GB2312"/>
          <w:sz w:val="32"/>
          <w:szCs w:val="32"/>
        </w:rPr>
        <w:t>,</w:t>
      </w:r>
      <w:r>
        <w:rPr>
          <w:rFonts w:ascii="仿宋_GB2312" w:eastAsia="仿宋_GB2312" w:hAnsi="仿宋" w:cs="仿宋_GB2312" w:hint="eastAsia"/>
          <w:sz w:val="32"/>
          <w:szCs w:val="32"/>
        </w:rPr>
        <w:t>切实解决居民区充电基础设施建设面临的“最后一公里”难题。</w:t>
      </w:r>
    </w:p>
    <w:p w:rsidR="00291E4B" w:rsidRPr="0025459A" w:rsidRDefault="00291E4B" w:rsidP="006F6AE2">
      <w:pPr>
        <w:spacing w:line="360" w:lineRule="auto"/>
        <w:ind w:firstLineChars="200" w:firstLine="31680"/>
        <w:rPr>
          <w:rFonts w:ascii="仿宋_GB2312" w:eastAsia="仿宋_GB2312" w:hAnsi="仿宋"/>
          <w:b/>
          <w:bCs/>
          <w:sz w:val="32"/>
          <w:szCs w:val="32"/>
        </w:rPr>
      </w:pPr>
      <w:r>
        <w:rPr>
          <w:rFonts w:ascii="仿宋_GB2312" w:eastAsia="仿宋_GB2312" w:hAnsi="仿宋" w:cs="仿宋_GB2312" w:hint="eastAsia"/>
          <w:b/>
          <w:bCs/>
          <w:sz w:val="32"/>
          <w:szCs w:val="32"/>
        </w:rPr>
        <w:t>（三）积极开展单位内部停车场充电基础设施建设</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具备条件的政府机关、公共机构及企事业单位</w:t>
      </w:r>
      <w:r>
        <w:rPr>
          <w:rFonts w:ascii="仿宋_GB2312" w:eastAsia="仿宋_GB2312" w:hAnsi="仿宋" w:cs="仿宋_GB2312"/>
          <w:sz w:val="32"/>
          <w:szCs w:val="32"/>
        </w:rPr>
        <w:t>,</w:t>
      </w:r>
      <w:r>
        <w:rPr>
          <w:rFonts w:ascii="仿宋_GB2312" w:eastAsia="仿宋_GB2312" w:hAnsi="仿宋" w:cs="仿宋_GB2312" w:hint="eastAsia"/>
          <w:sz w:val="32"/>
          <w:szCs w:val="32"/>
        </w:rPr>
        <w:t>要结合单位电动汽车配备更新计划以及职工购买使用电动汽车需求</w:t>
      </w:r>
      <w:r>
        <w:rPr>
          <w:rFonts w:ascii="仿宋_GB2312" w:eastAsia="仿宋_GB2312" w:hAnsi="仿宋" w:cs="仿宋_GB2312"/>
          <w:sz w:val="32"/>
          <w:szCs w:val="32"/>
        </w:rPr>
        <w:t>,</w:t>
      </w:r>
      <w:r>
        <w:rPr>
          <w:rFonts w:ascii="仿宋_GB2312" w:eastAsia="仿宋_GB2312" w:hAnsi="仿宋" w:cs="仿宋_GB2312" w:hint="eastAsia"/>
          <w:sz w:val="32"/>
          <w:szCs w:val="32"/>
        </w:rPr>
        <w:t>利用单位内部停车场资源</w:t>
      </w:r>
      <w:r>
        <w:rPr>
          <w:rFonts w:ascii="仿宋_GB2312" w:eastAsia="仿宋_GB2312" w:hAnsi="仿宋" w:cs="仿宋_GB2312"/>
          <w:sz w:val="32"/>
          <w:szCs w:val="32"/>
        </w:rPr>
        <w:t>,</w:t>
      </w:r>
      <w:r>
        <w:rPr>
          <w:rFonts w:ascii="仿宋_GB2312" w:eastAsia="仿宋_GB2312" w:hAnsi="仿宋" w:cs="仿宋_GB2312" w:hint="eastAsia"/>
          <w:sz w:val="32"/>
          <w:szCs w:val="32"/>
        </w:rPr>
        <w:t>规划电动汽车专用停车位</w:t>
      </w:r>
      <w:r>
        <w:rPr>
          <w:rFonts w:ascii="仿宋_GB2312" w:eastAsia="仿宋_GB2312" w:hAnsi="仿宋" w:cs="仿宋_GB2312"/>
          <w:sz w:val="32"/>
          <w:szCs w:val="32"/>
        </w:rPr>
        <w:t>,</w:t>
      </w:r>
      <w:r>
        <w:rPr>
          <w:rFonts w:ascii="仿宋_GB2312" w:eastAsia="仿宋_GB2312" w:hAnsi="仿宋" w:cs="仿宋_GB2312" w:hint="eastAsia"/>
          <w:sz w:val="32"/>
          <w:szCs w:val="32"/>
        </w:rPr>
        <w:t>配建充电桩。将有关单位配建充电基础设施情况纳入节能减排考核奖励范围。</w:t>
      </w:r>
    </w:p>
    <w:p w:rsidR="00291E4B" w:rsidRPr="0025459A" w:rsidRDefault="00291E4B" w:rsidP="006F6AE2">
      <w:pPr>
        <w:spacing w:line="360" w:lineRule="auto"/>
        <w:ind w:firstLineChars="200" w:firstLine="31680"/>
        <w:rPr>
          <w:rFonts w:ascii="仿宋_GB2312" w:eastAsia="仿宋_GB2312" w:hAnsi="仿宋"/>
          <w:b/>
          <w:bCs/>
          <w:sz w:val="32"/>
          <w:szCs w:val="32"/>
        </w:rPr>
      </w:pPr>
      <w:r>
        <w:rPr>
          <w:rFonts w:ascii="仿宋_GB2312" w:eastAsia="仿宋_GB2312" w:hAnsi="仿宋" w:cs="仿宋_GB2312" w:hint="eastAsia"/>
          <w:b/>
          <w:bCs/>
          <w:sz w:val="32"/>
          <w:szCs w:val="32"/>
        </w:rPr>
        <w:t>（四）加快推进城市公共充电网络建设</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按照《福建省电动汽车充电基础设施建设运营管理暂行办法》第十二条要求，搜集公共区域充电设施建设需求。结合以上充电设施建设需求及福州市停车场规划，在办公场所建设快慢结合的专用充电设施，在商业、公共服务设施、公共停车场、加油站建设以快充为主、慢充为辅的公用充电设施。公共充电基础设施布局应按照从城市中心到边缘、优先发展区域向一般区域逐步推进的原则</w:t>
      </w:r>
      <w:r>
        <w:rPr>
          <w:rFonts w:ascii="仿宋_GB2312" w:eastAsia="仿宋_GB2312" w:hAnsi="仿宋" w:cs="仿宋_GB2312"/>
          <w:sz w:val="32"/>
          <w:szCs w:val="32"/>
        </w:rPr>
        <w:t>,</w:t>
      </w:r>
      <w:r>
        <w:rPr>
          <w:rFonts w:ascii="仿宋_GB2312" w:eastAsia="仿宋_GB2312" w:hAnsi="仿宋" w:cs="仿宋_GB2312" w:hint="eastAsia"/>
          <w:sz w:val="32"/>
          <w:szCs w:val="32"/>
        </w:rPr>
        <w:t>逐步增大公共充电基础设施分布密度。鼓励有条件的单位和个人充电基础设施向社会公众开放。</w:t>
      </w:r>
    </w:p>
    <w:p w:rsidR="00291E4B" w:rsidRPr="0025459A" w:rsidRDefault="00291E4B" w:rsidP="006F6AE2">
      <w:pPr>
        <w:spacing w:line="360" w:lineRule="auto"/>
        <w:ind w:firstLineChars="200" w:firstLine="31680"/>
        <w:rPr>
          <w:rFonts w:ascii="仿宋_GB2312" w:eastAsia="仿宋_GB2312" w:hAnsi="仿宋"/>
          <w:b/>
          <w:bCs/>
          <w:sz w:val="32"/>
          <w:szCs w:val="32"/>
        </w:rPr>
      </w:pPr>
      <w:r>
        <w:rPr>
          <w:rFonts w:ascii="仿宋_GB2312" w:eastAsia="仿宋_GB2312" w:hAnsi="仿宋" w:cs="仿宋_GB2312" w:hint="eastAsia"/>
          <w:b/>
          <w:bCs/>
          <w:sz w:val="32"/>
          <w:szCs w:val="32"/>
        </w:rPr>
        <w:t>（五）同步构建充电智能服务平台</w:t>
      </w:r>
    </w:p>
    <w:p w:rsidR="00291E4B" w:rsidRPr="0025459A" w:rsidRDefault="00291E4B" w:rsidP="006F6AE2">
      <w:pPr>
        <w:spacing w:line="360" w:lineRule="auto"/>
        <w:ind w:firstLineChars="200" w:firstLine="31680"/>
        <w:jc w:val="left"/>
        <w:rPr>
          <w:rFonts w:ascii="仿宋_GB2312" w:eastAsia="仿宋_GB2312" w:hAnsi="仿宋"/>
          <w:sz w:val="32"/>
          <w:szCs w:val="32"/>
        </w:rPr>
      </w:pPr>
      <w:r>
        <w:rPr>
          <w:rFonts w:ascii="仿宋_GB2312" w:eastAsia="仿宋_GB2312" w:hAnsi="仿宋" w:cs="仿宋_GB2312" w:hint="eastAsia"/>
          <w:sz w:val="32"/>
          <w:szCs w:val="32"/>
        </w:rPr>
        <w:t>严格按照国家制定的充电基础设施产品技术标准，开展其准入管理、互操作性的产品检测与认证。推动引入充电设施信息服务平台运营商，构建地市级信息服务平台，有效整合不同企业充电服务平台信息资源，提高充电基础设施的利用率和有效覆盖面。并预留与其他城市或省级服务平台对接接口。</w:t>
      </w:r>
    </w:p>
    <w:p w:rsidR="00291E4B" w:rsidRPr="0025459A" w:rsidRDefault="00291E4B" w:rsidP="006F6AE2">
      <w:pPr>
        <w:spacing w:line="360" w:lineRule="auto"/>
        <w:ind w:firstLineChars="200" w:firstLine="31680"/>
        <w:rPr>
          <w:rFonts w:ascii="仿宋_GB2312" w:eastAsia="仿宋_GB2312" w:hAnsi="仿宋"/>
          <w:b/>
          <w:bCs/>
          <w:sz w:val="32"/>
          <w:szCs w:val="32"/>
        </w:rPr>
      </w:pPr>
      <w:bookmarkStart w:id="82" w:name="_Toc442297154"/>
      <w:r>
        <w:rPr>
          <w:rFonts w:ascii="仿宋_GB2312" w:eastAsia="仿宋_GB2312" w:hAnsi="仿宋" w:cs="仿宋_GB2312" w:hint="eastAsia"/>
          <w:b/>
          <w:bCs/>
          <w:sz w:val="32"/>
          <w:szCs w:val="32"/>
        </w:rPr>
        <w:t>二、加强配套电网保障能力</w:t>
      </w:r>
      <w:bookmarkEnd w:id="82"/>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电网企业应将充电基础设施配套电网建设与改造项目纳入当地配电网专项规划</w:t>
      </w:r>
      <w:r>
        <w:rPr>
          <w:rFonts w:ascii="仿宋_GB2312" w:eastAsia="仿宋_GB2312" w:hAnsi="仿宋" w:cs="仿宋_GB2312"/>
          <w:sz w:val="32"/>
          <w:szCs w:val="32"/>
        </w:rPr>
        <w:t>,</w:t>
      </w:r>
      <w:r>
        <w:rPr>
          <w:rFonts w:ascii="仿宋_GB2312" w:eastAsia="仿宋_GB2312" w:hAnsi="仿宋" w:cs="仿宋_GB2312" w:hint="eastAsia"/>
          <w:sz w:val="32"/>
          <w:szCs w:val="32"/>
        </w:rPr>
        <w:t>并与其他相关规划相协调</w:t>
      </w:r>
      <w:r>
        <w:rPr>
          <w:rFonts w:ascii="仿宋_GB2312" w:eastAsia="仿宋_GB2312" w:hAnsi="仿宋" w:cs="仿宋_GB2312"/>
          <w:sz w:val="32"/>
          <w:szCs w:val="32"/>
        </w:rPr>
        <w:t>,</w:t>
      </w:r>
      <w:r>
        <w:rPr>
          <w:rFonts w:ascii="仿宋_GB2312" w:eastAsia="仿宋_GB2312" w:hAnsi="仿宋" w:cs="仿宋_GB2312" w:hint="eastAsia"/>
          <w:sz w:val="32"/>
          <w:szCs w:val="32"/>
        </w:rPr>
        <w:t>在用地保障、廊道通行等方面给予支持</w:t>
      </w:r>
      <w:r>
        <w:rPr>
          <w:rFonts w:ascii="仿宋_GB2312" w:eastAsia="仿宋_GB2312" w:hAnsi="仿宋" w:cs="仿宋_GB2312"/>
          <w:sz w:val="32"/>
          <w:szCs w:val="32"/>
        </w:rPr>
        <w:t>,</w:t>
      </w:r>
      <w:r>
        <w:rPr>
          <w:rFonts w:ascii="仿宋_GB2312" w:eastAsia="仿宋_GB2312" w:hAnsi="仿宋" w:cs="仿宋_GB2312" w:hint="eastAsia"/>
          <w:sz w:val="32"/>
          <w:szCs w:val="32"/>
        </w:rPr>
        <w:t>切实做到“设施建设、电网先行”。电网企业要加强充电基础设施配套电网建设与改造</w:t>
      </w:r>
      <w:r>
        <w:rPr>
          <w:rFonts w:ascii="仿宋_GB2312" w:eastAsia="仿宋_GB2312" w:hAnsi="仿宋" w:cs="仿宋_GB2312"/>
          <w:sz w:val="32"/>
          <w:szCs w:val="32"/>
        </w:rPr>
        <w:t>,</w:t>
      </w:r>
      <w:r>
        <w:rPr>
          <w:rFonts w:ascii="仿宋_GB2312" w:eastAsia="仿宋_GB2312" w:hAnsi="仿宋" w:cs="仿宋_GB2312" w:hint="eastAsia"/>
          <w:sz w:val="32"/>
          <w:szCs w:val="32"/>
        </w:rPr>
        <w:t>保障充电基础设施无障碍接入</w:t>
      </w:r>
      <w:r>
        <w:rPr>
          <w:rFonts w:ascii="仿宋_GB2312" w:eastAsia="仿宋_GB2312" w:hAnsi="仿宋" w:cs="仿宋_GB2312"/>
          <w:sz w:val="32"/>
          <w:szCs w:val="32"/>
        </w:rPr>
        <w:t>,</w:t>
      </w:r>
      <w:r>
        <w:rPr>
          <w:rFonts w:ascii="仿宋_GB2312" w:eastAsia="仿宋_GB2312" w:hAnsi="仿宋" w:cs="仿宋_GB2312" w:hint="eastAsia"/>
          <w:sz w:val="32"/>
          <w:szCs w:val="32"/>
        </w:rPr>
        <w:t>确保电力供应的“畅通无阻”</w:t>
      </w:r>
      <w:r>
        <w:rPr>
          <w:rFonts w:ascii="仿宋_GB2312" w:eastAsia="仿宋_GB2312" w:hAnsi="仿宋" w:cs="仿宋_GB2312"/>
          <w:sz w:val="32"/>
          <w:szCs w:val="32"/>
        </w:rPr>
        <w:t>,</w:t>
      </w:r>
      <w:r>
        <w:rPr>
          <w:rFonts w:ascii="仿宋_GB2312" w:eastAsia="仿宋_GB2312" w:hAnsi="仿宋" w:cs="仿宋_GB2312" w:hint="eastAsia"/>
          <w:sz w:val="32"/>
          <w:szCs w:val="32"/>
        </w:rPr>
        <w:t>满足充换电设施运营需求。</w:t>
      </w:r>
    </w:p>
    <w:p w:rsidR="00291E4B" w:rsidRPr="0025459A" w:rsidRDefault="00291E4B" w:rsidP="006F6AE2">
      <w:pPr>
        <w:spacing w:line="360" w:lineRule="auto"/>
        <w:ind w:firstLineChars="200" w:firstLine="31680"/>
        <w:rPr>
          <w:rFonts w:ascii="仿宋_GB2312" w:eastAsia="仿宋_GB2312" w:hAnsi="仿宋"/>
          <w:b/>
          <w:bCs/>
          <w:sz w:val="32"/>
          <w:szCs w:val="32"/>
        </w:rPr>
      </w:pPr>
      <w:bookmarkStart w:id="83" w:name="_Toc442297156"/>
      <w:r>
        <w:rPr>
          <w:rFonts w:ascii="仿宋_GB2312" w:eastAsia="仿宋_GB2312" w:hAnsi="仿宋" w:cs="仿宋_GB2312" w:hint="eastAsia"/>
          <w:b/>
          <w:bCs/>
          <w:sz w:val="32"/>
          <w:szCs w:val="32"/>
        </w:rPr>
        <w:t>三、探索可持续商业模式</w:t>
      </w:r>
      <w:bookmarkEnd w:id="83"/>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（一）积极引入社会资本</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有效整合公交、出租场站以及社会公共停车场等各类公共资源</w:t>
      </w:r>
      <w:r>
        <w:rPr>
          <w:rFonts w:ascii="仿宋_GB2312" w:eastAsia="仿宋_GB2312" w:hAnsi="仿宋" w:cs="仿宋_GB2312"/>
          <w:sz w:val="32"/>
          <w:szCs w:val="32"/>
        </w:rPr>
        <w:t>,</w:t>
      </w:r>
      <w:r>
        <w:rPr>
          <w:rFonts w:ascii="仿宋_GB2312" w:eastAsia="仿宋_GB2312" w:hAnsi="仿宋" w:cs="仿宋_GB2312" w:hint="eastAsia"/>
          <w:sz w:val="32"/>
          <w:szCs w:val="32"/>
        </w:rPr>
        <w:t>通过政府与社会资本合作</w:t>
      </w:r>
      <w:r>
        <w:rPr>
          <w:rFonts w:ascii="仿宋_GB2312" w:eastAsia="仿宋_GB2312" w:hAnsi="仿宋" w:cs="仿宋_GB2312"/>
          <w:sz w:val="32"/>
          <w:szCs w:val="32"/>
        </w:rPr>
        <w:t>(PPP)</w:t>
      </w:r>
      <w:r>
        <w:rPr>
          <w:rFonts w:ascii="仿宋_GB2312" w:eastAsia="仿宋_GB2312" w:hAnsi="仿宋" w:cs="仿宋_GB2312" w:hint="eastAsia"/>
          <w:sz w:val="32"/>
          <w:szCs w:val="32"/>
        </w:rPr>
        <w:t>等方式培育市场主体</w:t>
      </w:r>
      <w:r>
        <w:rPr>
          <w:rFonts w:ascii="仿宋_GB2312" w:eastAsia="仿宋_GB2312" w:hAnsi="仿宋" w:cs="仿宋_GB2312"/>
          <w:sz w:val="32"/>
          <w:szCs w:val="32"/>
        </w:rPr>
        <w:t>,</w:t>
      </w:r>
      <w:r>
        <w:rPr>
          <w:rFonts w:ascii="仿宋_GB2312" w:eastAsia="仿宋_GB2312" w:hAnsi="仿宋" w:cs="仿宋_GB2312" w:hint="eastAsia"/>
          <w:sz w:val="32"/>
          <w:szCs w:val="32"/>
        </w:rPr>
        <w:t>引入社会资本建设运营公共服务领域充电基础设施、城市公共充电网络及智能服务平台。加快形成私人用户居住地与单位内部停车场充电基础设施建设运营的市场机制。构建统一开放、竞争有序的充电服务市场。</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（二）鼓励拓展多种商业模式</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鼓励探索大型充换电站与商业地产相结合的发展方式</w:t>
      </w:r>
      <w:r>
        <w:rPr>
          <w:rFonts w:ascii="仿宋_GB2312" w:eastAsia="仿宋_GB2312" w:hAnsi="仿宋" w:cs="仿宋_GB2312"/>
          <w:sz w:val="32"/>
          <w:szCs w:val="32"/>
        </w:rPr>
        <w:t>,</w:t>
      </w:r>
      <w:r>
        <w:rPr>
          <w:rFonts w:ascii="仿宋_GB2312" w:eastAsia="仿宋_GB2312" w:hAnsi="仿宋" w:cs="仿宋_GB2312" w:hint="eastAsia"/>
          <w:sz w:val="32"/>
          <w:szCs w:val="32"/>
        </w:rPr>
        <w:t>引导商场、超市、电影院、便利店等商业场所为用户提供辅助充电服务。鼓励充电服务企业与整车企业在销售和售后服务方面创新商业合作模式。充分利用融资租赁、特许经营权质押等融资模式</w:t>
      </w:r>
      <w:r>
        <w:rPr>
          <w:rFonts w:ascii="仿宋_GB2312" w:eastAsia="仿宋_GB2312" w:hAnsi="仿宋" w:cs="仿宋_GB2312"/>
          <w:sz w:val="32"/>
          <w:szCs w:val="32"/>
        </w:rPr>
        <w:t>,</w:t>
      </w:r>
      <w:r>
        <w:rPr>
          <w:rFonts w:ascii="仿宋_GB2312" w:eastAsia="仿宋_GB2312" w:hAnsi="仿宋" w:cs="仿宋_GB2312" w:hint="eastAsia"/>
          <w:sz w:val="32"/>
          <w:szCs w:val="32"/>
        </w:rPr>
        <w:t>借鉴合同能源管理等业务模式</w:t>
      </w:r>
      <w:r>
        <w:rPr>
          <w:rFonts w:ascii="仿宋_GB2312" w:eastAsia="仿宋_GB2312" w:hAnsi="仿宋" w:cs="仿宋_GB2312"/>
          <w:sz w:val="32"/>
          <w:szCs w:val="32"/>
        </w:rPr>
        <w:t>,</w:t>
      </w:r>
      <w:r>
        <w:rPr>
          <w:rFonts w:ascii="仿宋_GB2312" w:eastAsia="仿宋_GB2312" w:hAnsi="仿宋" w:cs="仿宋_GB2312" w:hint="eastAsia"/>
          <w:sz w:val="32"/>
          <w:szCs w:val="32"/>
        </w:rPr>
        <w:t>推进商业模式创新。大力推动“互联网</w:t>
      </w:r>
      <w:r>
        <w:rPr>
          <w:rFonts w:ascii="仿宋_GB2312" w:eastAsia="仿宋_GB2312" w:hAnsi="仿宋" w:cs="仿宋_GB2312"/>
          <w:sz w:val="32"/>
          <w:szCs w:val="32"/>
        </w:rPr>
        <w:t>+</w:t>
      </w:r>
      <w:r>
        <w:rPr>
          <w:rFonts w:ascii="仿宋_GB2312" w:eastAsia="仿宋_GB2312" w:hAnsi="仿宋" w:cs="仿宋_GB2312" w:hint="eastAsia"/>
          <w:sz w:val="32"/>
          <w:szCs w:val="32"/>
        </w:rPr>
        <w:t>充电基础设施”相关商业模式与服务创新</w:t>
      </w:r>
      <w:r>
        <w:rPr>
          <w:rFonts w:ascii="仿宋_GB2312" w:eastAsia="仿宋_GB2312" w:hAnsi="仿宋" w:cs="仿宋_GB2312"/>
          <w:sz w:val="32"/>
          <w:szCs w:val="32"/>
        </w:rPr>
        <w:t>,</w:t>
      </w:r>
      <w:r>
        <w:rPr>
          <w:rFonts w:ascii="仿宋_GB2312" w:eastAsia="仿宋_GB2312" w:hAnsi="仿宋" w:cs="仿宋_GB2312" w:hint="eastAsia"/>
          <w:sz w:val="32"/>
          <w:szCs w:val="32"/>
        </w:rPr>
        <w:t>引入众筹、线上与线下相结合等新兴业务模式</w:t>
      </w:r>
      <w:r>
        <w:rPr>
          <w:rFonts w:ascii="仿宋_GB2312" w:eastAsia="仿宋_GB2312" w:hAnsi="仿宋" w:cs="仿宋_GB2312"/>
          <w:sz w:val="32"/>
          <w:szCs w:val="32"/>
        </w:rPr>
        <w:t>,</w:t>
      </w:r>
      <w:r>
        <w:rPr>
          <w:rFonts w:ascii="仿宋_GB2312" w:eastAsia="仿宋_GB2312" w:hAnsi="仿宋" w:cs="仿宋_GB2312" w:hint="eastAsia"/>
          <w:sz w:val="32"/>
          <w:szCs w:val="32"/>
        </w:rPr>
        <w:t>积极拓展智能充放电、电子商务和广告等增值服务</w:t>
      </w:r>
      <w:r>
        <w:rPr>
          <w:rFonts w:ascii="仿宋_GB2312" w:eastAsia="仿宋_GB2312" w:hAnsi="仿宋" w:cs="仿宋_GB2312"/>
          <w:sz w:val="32"/>
          <w:szCs w:val="32"/>
        </w:rPr>
        <w:t>,</w:t>
      </w:r>
      <w:r>
        <w:rPr>
          <w:rFonts w:ascii="仿宋_GB2312" w:eastAsia="仿宋_GB2312" w:hAnsi="仿宋" w:cs="仿宋_GB2312" w:hint="eastAsia"/>
          <w:sz w:val="32"/>
          <w:szCs w:val="32"/>
        </w:rPr>
        <w:t>吸引更多社会资源参与</w:t>
      </w:r>
      <w:r>
        <w:rPr>
          <w:rFonts w:ascii="仿宋_GB2312" w:eastAsia="仿宋_GB2312" w:hAnsi="仿宋" w:cs="仿宋_GB2312"/>
          <w:sz w:val="32"/>
          <w:szCs w:val="32"/>
        </w:rPr>
        <w:t>,</w:t>
      </w:r>
      <w:r>
        <w:rPr>
          <w:rFonts w:ascii="仿宋_GB2312" w:eastAsia="仿宋_GB2312" w:hAnsi="仿宋" w:cs="仿宋_GB2312" w:hint="eastAsia"/>
          <w:sz w:val="32"/>
          <w:szCs w:val="32"/>
        </w:rPr>
        <w:t>提高企业可持续发展能力。</w:t>
      </w:r>
    </w:p>
    <w:p w:rsidR="00291E4B" w:rsidRPr="0025459A" w:rsidRDefault="00291E4B" w:rsidP="006F6AE2">
      <w:pPr>
        <w:spacing w:line="360" w:lineRule="auto"/>
        <w:ind w:firstLineChars="200" w:firstLine="31680"/>
        <w:rPr>
          <w:rFonts w:ascii="仿宋_GB2312" w:eastAsia="仿宋_GB2312" w:hAnsi="仿宋"/>
          <w:b/>
          <w:bCs/>
          <w:sz w:val="32"/>
          <w:szCs w:val="32"/>
        </w:rPr>
      </w:pPr>
      <w:bookmarkStart w:id="84" w:name="_Toc442297157"/>
      <w:r>
        <w:rPr>
          <w:rFonts w:ascii="仿宋_GB2312" w:eastAsia="仿宋_GB2312" w:hAnsi="仿宋" w:cs="仿宋_GB2312" w:hint="eastAsia"/>
          <w:b/>
          <w:bCs/>
          <w:sz w:val="32"/>
          <w:szCs w:val="32"/>
        </w:rPr>
        <w:t>四、开展相关示范工作</w:t>
      </w:r>
      <w:bookmarkEnd w:id="84"/>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（一）开展建设与运营模式示范</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在小区、商业场所、公共停车场站开展私人及公共充电基础设施的建设运营模式示范；在公交、环卫、物流、公安巡逻、机场大巴等领域开展专用车充电基础设施的建设运营模式示范；结合企事业单位停车场所配建充电基础设施，开展电动汽车绿色出行租赁等服务项目。通过示范项目，理顺充电基础设施建设运营管理机制，探索系统化的支持政策以及可行的商业模式，以点带面，加快充电基础设施建设整体进程，提高发展质量、速度和效益。在示范项目中积极探索无人值守自助式服务、无线充电、移动充电、智能电网等新技术的应用。</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（二）加强示范经验总结与交流推广</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加强对充电基础设施示范工作的总结</w:t>
      </w:r>
      <w:r>
        <w:rPr>
          <w:rFonts w:ascii="仿宋_GB2312" w:eastAsia="仿宋_GB2312" w:hAnsi="仿宋" w:cs="仿宋_GB2312"/>
          <w:sz w:val="32"/>
          <w:szCs w:val="32"/>
        </w:rPr>
        <w:t>,</w:t>
      </w:r>
      <w:r>
        <w:rPr>
          <w:rFonts w:ascii="仿宋_GB2312" w:eastAsia="仿宋_GB2312" w:hAnsi="仿宋" w:cs="仿宋_GB2312" w:hint="eastAsia"/>
          <w:sz w:val="32"/>
          <w:szCs w:val="32"/>
        </w:rPr>
        <w:t>积极加强与其他地区的经验交流。对示范工作中的成功经验要加大推广力度</w:t>
      </w:r>
      <w:r>
        <w:rPr>
          <w:rFonts w:ascii="仿宋_GB2312" w:eastAsia="仿宋_GB2312" w:hAnsi="仿宋" w:cs="仿宋_GB2312"/>
          <w:sz w:val="32"/>
          <w:szCs w:val="32"/>
        </w:rPr>
        <w:t>,</w:t>
      </w:r>
      <w:r>
        <w:rPr>
          <w:rFonts w:ascii="仿宋_GB2312" w:eastAsia="仿宋_GB2312" w:hAnsi="仿宋" w:cs="仿宋_GB2312" w:hint="eastAsia"/>
          <w:sz w:val="32"/>
          <w:szCs w:val="32"/>
        </w:rPr>
        <w:t>对暴露出来的一些共性问题要及时解决</w:t>
      </w:r>
      <w:r>
        <w:rPr>
          <w:rFonts w:ascii="仿宋_GB2312" w:eastAsia="仿宋_GB2312" w:hAnsi="仿宋" w:cs="仿宋_GB2312"/>
          <w:sz w:val="32"/>
          <w:szCs w:val="32"/>
        </w:rPr>
        <w:t>,</w:t>
      </w:r>
      <w:r>
        <w:rPr>
          <w:rFonts w:ascii="仿宋_GB2312" w:eastAsia="仿宋_GB2312" w:hAnsi="仿宋" w:cs="仿宋_GB2312" w:hint="eastAsia"/>
          <w:sz w:val="32"/>
          <w:szCs w:val="32"/>
        </w:rPr>
        <w:t>建立有效机制</w:t>
      </w:r>
      <w:r>
        <w:rPr>
          <w:rFonts w:ascii="仿宋_GB2312" w:eastAsia="仿宋_GB2312" w:hAnsi="仿宋" w:cs="仿宋_GB2312"/>
          <w:sz w:val="32"/>
          <w:szCs w:val="32"/>
        </w:rPr>
        <w:t>,</w:t>
      </w:r>
      <w:r>
        <w:rPr>
          <w:rFonts w:ascii="仿宋_GB2312" w:eastAsia="仿宋_GB2312" w:hAnsi="仿宋" w:cs="仿宋_GB2312" w:hint="eastAsia"/>
          <w:sz w:val="32"/>
          <w:szCs w:val="32"/>
        </w:rPr>
        <w:t>完善政策法规</w:t>
      </w:r>
      <w:r>
        <w:rPr>
          <w:rFonts w:ascii="仿宋_GB2312" w:eastAsia="仿宋_GB2312" w:hAnsi="仿宋" w:cs="仿宋_GB2312"/>
          <w:sz w:val="32"/>
          <w:szCs w:val="32"/>
        </w:rPr>
        <w:t>,</w:t>
      </w:r>
      <w:r>
        <w:rPr>
          <w:rFonts w:ascii="仿宋_GB2312" w:eastAsia="仿宋_GB2312" w:hAnsi="仿宋" w:cs="仿宋_GB2312" w:hint="eastAsia"/>
          <w:sz w:val="32"/>
          <w:szCs w:val="32"/>
        </w:rPr>
        <w:t>为下一步普及推广打好基础。</w:t>
      </w:r>
    </w:p>
    <w:p w:rsidR="00291E4B" w:rsidRPr="0025459A" w:rsidRDefault="00291E4B" w:rsidP="00A03429">
      <w:pPr>
        <w:pStyle w:val="Heading2"/>
        <w:rPr>
          <w:rFonts w:cs="Times New Roman"/>
        </w:rPr>
      </w:pPr>
      <w:r w:rsidRPr="009F35EC">
        <w:t xml:space="preserve">  </w:t>
      </w:r>
      <w:bookmarkStart w:id="85" w:name="_Toc462643637"/>
      <w:r w:rsidRPr="009F35EC">
        <w:rPr>
          <w:rFonts w:cs="黑体" w:hint="eastAsia"/>
        </w:rPr>
        <w:t>保障措施</w:t>
      </w:r>
      <w:bookmarkEnd w:id="85"/>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为顺利推动福州充电基础设建设，对接《电动汽车充电基础设施发展指南（</w:t>
      </w:r>
      <w:r>
        <w:rPr>
          <w:rFonts w:ascii="仿宋_GB2312" w:eastAsia="仿宋_GB2312" w:hAnsi="仿宋" w:cs="仿宋_GB2312"/>
          <w:sz w:val="32"/>
          <w:szCs w:val="32"/>
        </w:rPr>
        <w:t>2015-2020</w:t>
      </w:r>
      <w:r>
        <w:rPr>
          <w:rFonts w:ascii="仿宋_GB2312" w:eastAsia="仿宋_GB2312" w:hAnsi="仿宋" w:cs="仿宋_GB2312" w:hint="eastAsia"/>
          <w:sz w:val="32"/>
          <w:szCs w:val="32"/>
        </w:rPr>
        <w:t>年）》及《福建省“十三五”电动汽车充电基础设施专项规划》，提出以下各项保障措施：</w:t>
      </w:r>
    </w:p>
    <w:p w:rsidR="00291E4B" w:rsidRPr="0025459A" w:rsidRDefault="00291E4B" w:rsidP="006F6AE2">
      <w:pPr>
        <w:spacing w:line="360" w:lineRule="auto"/>
        <w:ind w:firstLineChars="200" w:firstLine="31680"/>
        <w:rPr>
          <w:rFonts w:ascii="仿宋_GB2312" w:eastAsia="仿宋_GB2312" w:hAnsi="仿宋"/>
          <w:b/>
          <w:bCs/>
          <w:sz w:val="32"/>
          <w:szCs w:val="32"/>
        </w:rPr>
      </w:pPr>
      <w:r>
        <w:rPr>
          <w:rFonts w:ascii="仿宋_GB2312" w:eastAsia="仿宋_GB2312" w:hAnsi="仿宋" w:cs="仿宋_GB2312" w:hint="eastAsia"/>
          <w:b/>
          <w:bCs/>
          <w:sz w:val="32"/>
          <w:szCs w:val="32"/>
        </w:rPr>
        <w:t>一、建立协同推进机制</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成立福州市电动汽车充电基础设施建设联席会议制度，协同推进，统筹研究充电基础设施建设相关配套政策，并抓好组织实施。</w:t>
      </w:r>
    </w:p>
    <w:p w:rsidR="00291E4B" w:rsidRPr="0025459A" w:rsidRDefault="00291E4B" w:rsidP="006F6AE2">
      <w:pPr>
        <w:spacing w:line="360" w:lineRule="auto"/>
        <w:ind w:firstLineChars="200" w:firstLine="31680"/>
        <w:rPr>
          <w:rFonts w:ascii="仿宋_GB2312" w:eastAsia="仿宋_GB2312" w:hAnsi="仿宋"/>
          <w:b/>
          <w:bCs/>
          <w:sz w:val="32"/>
          <w:szCs w:val="32"/>
        </w:rPr>
      </w:pPr>
      <w:r>
        <w:rPr>
          <w:rFonts w:ascii="仿宋_GB2312" w:eastAsia="仿宋_GB2312" w:hAnsi="仿宋" w:cs="仿宋_GB2312" w:hint="eastAsia"/>
          <w:b/>
          <w:bCs/>
          <w:sz w:val="32"/>
          <w:szCs w:val="32"/>
        </w:rPr>
        <w:t>二、加强财政金融政策支持</w:t>
      </w:r>
    </w:p>
    <w:p w:rsidR="00291E4B"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结合省级财政政策，制定福州市“十三五”充电基础设施建设财政奖励办法及实施细则。鼓励政府和社会资本合作（</w:t>
      </w:r>
      <w:r>
        <w:rPr>
          <w:rFonts w:ascii="仿宋_GB2312" w:eastAsia="仿宋_GB2312" w:hAnsi="仿宋" w:cs="仿宋_GB2312"/>
          <w:sz w:val="32"/>
          <w:szCs w:val="32"/>
        </w:rPr>
        <w:t>PPP</w:t>
      </w:r>
      <w:r>
        <w:rPr>
          <w:rFonts w:ascii="仿宋_GB2312" w:eastAsia="仿宋_GB2312" w:hAnsi="仿宋" w:cs="仿宋_GB2312" w:hint="eastAsia"/>
          <w:sz w:val="32"/>
          <w:szCs w:val="32"/>
        </w:rPr>
        <w:t>）模式，按规定辅以相关规费减免、发行绿色债券方面的政策支持，积极支持拓宽充电基础设施投资运营企业与设备厂商的融资渠道。</w:t>
      </w:r>
    </w:p>
    <w:p w:rsidR="00291E4B" w:rsidRPr="0025459A" w:rsidRDefault="00291E4B" w:rsidP="006F6AE2">
      <w:pPr>
        <w:spacing w:line="360" w:lineRule="auto"/>
        <w:ind w:firstLineChars="200" w:firstLine="31680"/>
        <w:rPr>
          <w:rFonts w:ascii="仿宋_GB2312" w:eastAsia="仿宋_GB2312" w:hAnsi="宋体"/>
          <w:sz w:val="32"/>
          <w:szCs w:val="32"/>
        </w:rPr>
      </w:pPr>
      <w:r>
        <w:rPr>
          <w:rFonts w:ascii="仿宋_GB2312" w:eastAsia="仿宋_GB2312" w:hAnsi="仿宋" w:cs="仿宋_GB2312" w:hint="eastAsia"/>
          <w:b/>
          <w:bCs/>
          <w:sz w:val="32"/>
          <w:szCs w:val="32"/>
        </w:rPr>
        <w:t>三、</w:t>
      </w:r>
      <w:r>
        <w:rPr>
          <w:rFonts w:ascii="仿宋_GB2312" w:eastAsia="仿宋_GB2312" w:hAnsi="宋体" w:cs="仿宋_GB2312" w:hint="eastAsia"/>
          <w:b/>
          <w:bCs/>
          <w:sz w:val="32"/>
          <w:szCs w:val="32"/>
        </w:rPr>
        <w:t>加大用地支持力度。</w:t>
      </w:r>
      <w:r>
        <w:rPr>
          <w:rFonts w:ascii="仿宋_GB2312" w:eastAsia="仿宋_GB2312" w:hAnsi="宋体" w:cs="仿宋_GB2312" w:hint="eastAsia"/>
          <w:sz w:val="32"/>
          <w:szCs w:val="32"/>
        </w:rPr>
        <w:t>将充电基础设施规划与城市总体规划、土地利用总体规划做</w:t>
      </w:r>
      <w:r w:rsidRPr="00914BD3">
        <w:rPr>
          <w:rFonts w:ascii="仿宋_GB2312" w:eastAsia="仿宋_GB2312" w:hAnsi="宋体" w:cs="仿宋_GB2312" w:hint="eastAsia"/>
          <w:sz w:val="32"/>
          <w:szCs w:val="32"/>
        </w:rPr>
        <w:t>好衔接，并将公共集中式充换电站纳入规划管理体系，优先安排充电设施计划指标及公用设施营业网点用地</w:t>
      </w:r>
      <w:r w:rsidRPr="00914BD3">
        <w:rPr>
          <w:rFonts w:ascii="仿宋_GB2312" w:eastAsia="仿宋_GB2312" w:hAnsi="仿宋" w:cs="仿宋_GB2312" w:hint="eastAsia"/>
          <w:sz w:val="32"/>
          <w:szCs w:val="32"/>
        </w:rPr>
        <w:t>。</w:t>
      </w:r>
      <w:r>
        <w:rPr>
          <w:rFonts w:ascii="仿宋_GB2312" w:eastAsia="仿宋_GB2312" w:hAnsi="仿宋" w:cs="仿宋_GB2312" w:hint="eastAsia"/>
          <w:sz w:val="32"/>
          <w:szCs w:val="32"/>
        </w:rPr>
        <w:t>积极采取多种方式供地，对公交、环卫等公共服务领域充电设施项目，可采取划拨方式供地；其他营利性充电基础设施项目，可采取公开出让或租赁方式供地，对于规划条件许可的地块，可按照加油（气）、充电混合站进行规划，降低企业运营成本。</w:t>
      </w:r>
    </w:p>
    <w:p w:rsidR="00291E4B"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充分利用各类建设项目配建充电基础设施，在开展交通运输、工矿仓储、商服、住宅等建设项目用地规划时，将配建要求纳入项目土地供应条件；并鼓励在已有各类建筑物配建停车场、公交场站、社会公共停车场与高速公路服务区等场所配建充电基础设施。</w:t>
      </w:r>
    </w:p>
    <w:p w:rsidR="00291E4B" w:rsidRPr="00A72DF9" w:rsidRDefault="00291E4B" w:rsidP="006F6AE2">
      <w:pPr>
        <w:spacing w:line="360" w:lineRule="auto"/>
        <w:ind w:firstLineChars="200" w:firstLine="31680"/>
        <w:rPr>
          <w:rFonts w:ascii="仿宋_GB2312" w:eastAsia="仿宋_GB2312" w:hAnsi="仿宋"/>
          <w:b/>
          <w:bCs/>
          <w:sz w:val="32"/>
          <w:szCs w:val="32"/>
        </w:rPr>
      </w:pPr>
      <w:r w:rsidRPr="00A72DF9">
        <w:rPr>
          <w:rFonts w:ascii="仿宋_GB2312" w:eastAsia="仿宋_GB2312" w:hAnsi="仿宋" w:cs="仿宋_GB2312" w:hint="eastAsia"/>
          <w:b/>
          <w:bCs/>
          <w:sz w:val="32"/>
          <w:szCs w:val="32"/>
        </w:rPr>
        <w:t>四、纳入城市规划管理体系</w:t>
      </w:r>
    </w:p>
    <w:p w:rsidR="00291E4B" w:rsidRPr="006812F4" w:rsidRDefault="00291E4B" w:rsidP="006F6AE2">
      <w:pPr>
        <w:spacing w:line="360" w:lineRule="auto"/>
        <w:ind w:firstLineChars="200" w:firstLine="31680"/>
        <w:rPr>
          <w:rFonts w:ascii="仿宋_GB2312" w:eastAsia="仿宋_GB2312" w:hAnsi="仿宋"/>
          <w:sz w:val="32"/>
          <w:szCs w:val="32"/>
        </w:rPr>
      </w:pPr>
      <w:r w:rsidRPr="006812F4">
        <w:rPr>
          <w:rFonts w:ascii="仿宋_GB2312" w:eastAsia="仿宋_GB2312" w:hAnsi="仿宋" w:cs="仿宋_GB2312" w:hint="eastAsia"/>
          <w:sz w:val="32"/>
          <w:szCs w:val="32"/>
        </w:rPr>
        <w:t>将充电设施选址、建设标准纳入城市规划管理体系，在单元控制性详细规划中予以落实。同时将公共充电设施建设纳入福州市“十三五”城市发展规划及近期建设规划（</w:t>
      </w:r>
      <w:r w:rsidRPr="006812F4">
        <w:rPr>
          <w:rFonts w:ascii="仿宋_GB2312" w:eastAsia="仿宋_GB2312" w:hAnsi="仿宋" w:cs="仿宋_GB2312"/>
          <w:sz w:val="32"/>
          <w:szCs w:val="32"/>
        </w:rPr>
        <w:t>2016</w:t>
      </w:r>
      <w:r>
        <w:rPr>
          <w:rFonts w:ascii="仿宋_GB2312" w:eastAsia="仿宋_GB2312" w:hAnsi="仿宋" w:cs="仿宋_GB2312" w:hint="eastAsia"/>
          <w:sz w:val="32"/>
          <w:szCs w:val="32"/>
        </w:rPr>
        <w:t>～</w:t>
      </w:r>
      <w:r w:rsidRPr="006812F4">
        <w:rPr>
          <w:rFonts w:ascii="仿宋_GB2312" w:eastAsia="仿宋_GB2312" w:hAnsi="仿宋" w:cs="仿宋_GB2312"/>
          <w:sz w:val="32"/>
          <w:szCs w:val="32"/>
        </w:rPr>
        <w:t>2020</w:t>
      </w:r>
      <w:r w:rsidRPr="006812F4">
        <w:rPr>
          <w:rFonts w:ascii="仿宋_GB2312" w:eastAsia="仿宋_GB2312" w:hAnsi="仿宋" w:cs="仿宋_GB2312" w:hint="eastAsia"/>
          <w:sz w:val="32"/>
          <w:szCs w:val="32"/>
        </w:rPr>
        <w:t>年）。充电设施所在地项目（合建模式）建设实施过程中，规划、建设部门按照职责依法进行监督，确保充电设施的落地实施。</w:t>
      </w:r>
    </w:p>
    <w:p w:rsidR="00291E4B" w:rsidRPr="00D105D5"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按照《</w:t>
      </w:r>
      <w:r w:rsidRPr="009F5511">
        <w:rPr>
          <w:rFonts w:ascii="仿宋_GB2312" w:eastAsia="仿宋_GB2312" w:hAnsi="仿宋" w:cs="仿宋_GB2312" w:hint="eastAsia"/>
          <w:sz w:val="32"/>
          <w:szCs w:val="32"/>
        </w:rPr>
        <w:t>福建省电动汽车充电基础设</w:t>
      </w:r>
      <w:bookmarkStart w:id="86" w:name="_GoBack"/>
      <w:bookmarkEnd w:id="86"/>
      <w:r w:rsidRPr="009F5511">
        <w:rPr>
          <w:rFonts w:ascii="仿宋_GB2312" w:eastAsia="仿宋_GB2312" w:hAnsi="仿宋" w:cs="仿宋_GB2312" w:hint="eastAsia"/>
          <w:sz w:val="32"/>
          <w:szCs w:val="32"/>
        </w:rPr>
        <w:t>施建设运营管理暂行办法</w:t>
      </w:r>
      <w:r>
        <w:rPr>
          <w:rFonts w:ascii="仿宋_GB2312" w:eastAsia="仿宋_GB2312" w:hAnsi="仿宋" w:cs="仿宋_GB2312" w:hint="eastAsia"/>
          <w:sz w:val="32"/>
          <w:szCs w:val="32"/>
        </w:rPr>
        <w:t>》要求，在住宅、</w:t>
      </w:r>
      <w:r w:rsidRPr="007B4EA0">
        <w:rPr>
          <w:rFonts w:ascii="仿宋_GB2312" w:eastAsia="仿宋_GB2312" w:hAnsi="仿宋" w:cs="仿宋_GB2312" w:hint="eastAsia"/>
          <w:sz w:val="32"/>
          <w:szCs w:val="32"/>
        </w:rPr>
        <w:t>大型公共建筑物配建</w:t>
      </w:r>
      <w:r w:rsidRPr="009F5511">
        <w:rPr>
          <w:rFonts w:ascii="仿宋_GB2312" w:eastAsia="仿宋_GB2312" w:hAnsi="仿宋" w:cs="仿宋_GB2312" w:hint="eastAsia"/>
          <w:sz w:val="32"/>
          <w:szCs w:val="32"/>
        </w:rPr>
        <w:t>停车场、社会公共停车场等地</w:t>
      </w:r>
      <w:r>
        <w:rPr>
          <w:rFonts w:ascii="仿宋_GB2312" w:eastAsia="仿宋_GB2312" w:hAnsi="仿宋" w:cs="仿宋_GB2312" w:hint="eastAsia"/>
          <w:sz w:val="32"/>
          <w:szCs w:val="32"/>
        </w:rPr>
        <w:t>配建相应比例的停车位或预留充电基础设施</w:t>
      </w:r>
      <w:r w:rsidRPr="007B4EA0">
        <w:rPr>
          <w:rFonts w:ascii="仿宋_GB2312" w:eastAsia="仿宋_GB2312" w:hAnsi="仿宋" w:cs="仿宋_GB2312" w:hint="eastAsia"/>
          <w:sz w:val="32"/>
          <w:szCs w:val="32"/>
        </w:rPr>
        <w:t>建设安装条件</w:t>
      </w:r>
      <w:r>
        <w:rPr>
          <w:rFonts w:ascii="仿宋_GB2312" w:eastAsia="仿宋_GB2312" w:hAnsi="仿宋" w:cs="仿宋_GB2312" w:hint="eastAsia"/>
          <w:sz w:val="32"/>
          <w:szCs w:val="32"/>
        </w:rPr>
        <w:t>。</w:t>
      </w:r>
    </w:p>
    <w:p w:rsidR="00291E4B" w:rsidRPr="006812F4" w:rsidRDefault="00291E4B" w:rsidP="006F6AE2">
      <w:pPr>
        <w:spacing w:line="360" w:lineRule="auto"/>
        <w:ind w:firstLineChars="200" w:firstLine="31680"/>
        <w:rPr>
          <w:rFonts w:ascii="仿宋_GB2312" w:eastAsia="仿宋_GB2312" w:hAnsi="仿宋"/>
          <w:sz w:val="32"/>
          <w:szCs w:val="32"/>
        </w:rPr>
      </w:pPr>
      <w:r w:rsidRPr="006812F4">
        <w:rPr>
          <w:rFonts w:ascii="仿宋_GB2312" w:eastAsia="仿宋_GB2312" w:hAnsi="仿宋" w:cs="仿宋_GB2312" w:hint="eastAsia"/>
          <w:sz w:val="32"/>
          <w:szCs w:val="32"/>
        </w:rPr>
        <w:t>二环以内核心区，多为建成区，新建住宅小区少，原配建停车指标低，且采用“紧缺供应停车设施，与旧城路网相适应”的停车供应策略，居住地配建停车泊位总量少，除利用个人专属车位建设充电设施外，应推行、倡导“小区共享桩位”政策：鼓励生产企业及充电设施建设经营方与小区物业服务企业合作，在小区公共泊位上建设充电设施为业主提供服务，建立充电服务共享模式。有条件的住宅小区可</w:t>
      </w:r>
    </w:p>
    <w:p w:rsidR="00291E4B" w:rsidRPr="006812F4" w:rsidRDefault="00291E4B" w:rsidP="006F6AE2">
      <w:pPr>
        <w:spacing w:line="360" w:lineRule="auto"/>
        <w:ind w:firstLineChars="200" w:firstLine="31680"/>
        <w:rPr>
          <w:rFonts w:ascii="仿宋_GB2312" w:eastAsia="仿宋_GB2312" w:hAnsi="仿宋" w:cs="仿宋_GB2312"/>
          <w:sz w:val="32"/>
          <w:szCs w:val="32"/>
        </w:rPr>
      </w:pPr>
      <w:r w:rsidRPr="006812F4">
        <w:rPr>
          <w:rFonts w:ascii="仿宋_GB2312" w:eastAsia="仿宋_GB2312" w:hAnsi="仿宋" w:cs="仿宋_GB2312"/>
          <w:sz w:val="32"/>
          <w:szCs w:val="32"/>
        </w:rPr>
        <w:t xml:space="preserve"> </w:t>
      </w:r>
      <w:r w:rsidRPr="006812F4">
        <w:rPr>
          <w:rFonts w:ascii="仿宋_GB2312" w:eastAsia="仿宋_GB2312" w:hAnsi="仿宋" w:cs="仿宋_GB2312" w:hint="eastAsia"/>
          <w:sz w:val="32"/>
          <w:szCs w:val="32"/>
        </w:rPr>
        <w:t>二环以外地区，用地条件、交通环境相对宽松，新建住宅小区多集中于此，配建停车指标较高，建议以“拥车者自备桩位”为主：“桩随车走”，私人用户在签订车辆买卖合同之前需在居住地或办公场所落实一处专用充电设施安装泊位。在此基础上，可适当设置少量小区共享桩位。</w:t>
      </w:r>
      <w:r w:rsidRPr="006812F4">
        <w:rPr>
          <w:rFonts w:ascii="仿宋_GB2312" w:eastAsia="仿宋_GB2312" w:hAnsi="仿宋" w:cs="仿宋_GB2312"/>
          <w:sz w:val="32"/>
          <w:szCs w:val="32"/>
        </w:rPr>
        <w:t xml:space="preserve"> </w:t>
      </w:r>
    </w:p>
    <w:p w:rsidR="00291E4B" w:rsidRPr="0025459A" w:rsidRDefault="00291E4B" w:rsidP="006F6AE2">
      <w:pPr>
        <w:spacing w:line="360" w:lineRule="auto"/>
        <w:ind w:firstLineChars="200" w:firstLine="31680"/>
        <w:rPr>
          <w:rFonts w:ascii="仿宋_GB2312" w:eastAsia="仿宋_GB2312" w:hAnsi="仿宋"/>
          <w:b/>
          <w:bCs/>
          <w:sz w:val="32"/>
          <w:szCs w:val="32"/>
        </w:rPr>
      </w:pPr>
      <w:r>
        <w:rPr>
          <w:rFonts w:ascii="仿宋_GB2312" w:eastAsia="仿宋_GB2312" w:hAnsi="仿宋" w:cs="仿宋_GB2312" w:hint="eastAsia"/>
          <w:b/>
          <w:bCs/>
          <w:sz w:val="32"/>
          <w:szCs w:val="32"/>
        </w:rPr>
        <w:t>五、加大物业协调力度</w:t>
      </w:r>
    </w:p>
    <w:p w:rsidR="00291E4B" w:rsidRPr="0025459A" w:rsidRDefault="00291E4B" w:rsidP="006F6AE2">
      <w:pPr>
        <w:spacing w:line="360" w:lineRule="auto"/>
        <w:ind w:firstLineChars="200" w:firstLine="31680"/>
        <w:jc w:val="left"/>
        <w:rPr>
          <w:rFonts w:ascii="仿宋_GB2312" w:eastAsia="仿宋_GB2312" w:hAnsi="仿宋"/>
          <w:sz w:val="32"/>
          <w:szCs w:val="32"/>
        </w:rPr>
      </w:pPr>
      <w:r>
        <w:rPr>
          <w:rFonts w:ascii="仿宋_GB2312" w:eastAsia="仿宋_GB2312" w:hAnsi="仿宋" w:cs="仿宋_GB2312" w:hint="eastAsia"/>
          <w:sz w:val="32"/>
          <w:szCs w:val="32"/>
        </w:rPr>
        <w:t>市房地产行政主管部门、街道办事处和居委会应按照全国即将发布的私人用户住地充电基础设施建设管理示范文本，主动加强对业主委员会的指导和监督，做好宣传工作，引导业主支持充电设施建设，并要求物业公司予以支持和配合。业主大会、业主委员会应当依法履行自治管理职责，依据示范文本，结合自身实际，明确物业服务区域内建设管理充电基础设施的流程，并将相关内容纳入物业服务合同，由房地产行政主管部门对各物业公司的物业服务合同实际执行情况开展监督和考核。对拒不配合或阻挠充电基础设施建设的物业服务企业，</w:t>
      </w:r>
      <w:bookmarkStart w:id="87" w:name="OLE_LINK1"/>
      <w:r>
        <w:rPr>
          <w:rFonts w:ascii="仿宋_GB2312" w:eastAsia="仿宋_GB2312" w:hAnsi="仿宋" w:cs="仿宋_GB2312" w:hint="eastAsia"/>
          <w:sz w:val="32"/>
          <w:szCs w:val="32"/>
        </w:rPr>
        <w:t>市</w:t>
      </w:r>
      <w:bookmarkEnd w:id="87"/>
      <w:r>
        <w:rPr>
          <w:rFonts w:ascii="仿宋_GB2312" w:eastAsia="仿宋_GB2312" w:hAnsi="仿宋" w:cs="仿宋_GB2312" w:hint="eastAsia"/>
          <w:sz w:val="32"/>
          <w:szCs w:val="32"/>
        </w:rPr>
        <w:t>房地产行政主管部门应制定相应的处罚措施，扣减相关企业和负责人的信用信息评分。</w:t>
      </w:r>
    </w:p>
    <w:p w:rsidR="00291E4B" w:rsidRPr="0025459A" w:rsidRDefault="00291E4B" w:rsidP="006F6AE2">
      <w:pPr>
        <w:spacing w:line="360" w:lineRule="auto"/>
        <w:ind w:firstLineChars="200" w:firstLine="31680"/>
        <w:rPr>
          <w:rFonts w:ascii="仿宋_GB2312" w:eastAsia="仿宋_GB2312" w:hAnsi="宋体"/>
          <w:sz w:val="32"/>
          <w:szCs w:val="32"/>
        </w:rPr>
      </w:pPr>
      <w:r>
        <w:rPr>
          <w:rFonts w:ascii="仿宋_GB2312" w:eastAsia="仿宋_GB2312" w:hAnsi="仿宋" w:cs="仿宋_GB2312" w:hint="eastAsia"/>
          <w:b/>
          <w:bCs/>
          <w:sz w:val="32"/>
          <w:szCs w:val="32"/>
        </w:rPr>
        <w:t>六、加强配套电网建设。</w:t>
      </w:r>
      <w:r>
        <w:rPr>
          <w:rFonts w:ascii="仿宋_GB2312" w:eastAsia="仿宋_GB2312" w:hAnsi="宋体" w:cs="仿宋_GB2312" w:hint="eastAsia"/>
          <w:sz w:val="32"/>
          <w:szCs w:val="32"/>
        </w:rPr>
        <w:t>电网企业负责建设的充电设施配套接网工程，应简化企业内控流程，优化建设周期，保障充电设施无障碍接入。对未来规划建设的充电基础设施站点，及时纳入配电网规划，对本年度计划建设的充电基础设施站点，应及时排查</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上级</w:t>
      </w:r>
      <w:r w:rsidRPr="009F35EC">
        <w:rPr>
          <w:rFonts w:ascii="仿宋_GB2312" w:eastAsia="仿宋_GB2312" w:hAnsi="仿宋" w:cs="仿宋_GB2312" w:hint="eastAsia"/>
          <w:sz w:val="32"/>
          <w:szCs w:val="32"/>
        </w:rPr>
        <w:t>配变及供电线路</w:t>
      </w:r>
      <w:r>
        <w:rPr>
          <w:rFonts w:ascii="仿宋_GB2312" w:eastAsia="仿宋_GB2312" w:hAnsi="宋体" w:cs="仿宋_GB2312" w:hint="eastAsia"/>
          <w:sz w:val="32"/>
          <w:szCs w:val="32"/>
        </w:rPr>
        <w:t>容量，容量不足时提出合适的解决方案。目前国网福州供电公司正着力优化配电网络结构，提升装备水平，推动电网智能化升级，建成“安全可靠、经济高效、优质灵活、智能环保”的现代智能电网，充分满足电动汽车充换电设施等多元化负荷接入的需求。</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b/>
          <w:bCs/>
          <w:sz w:val="32"/>
          <w:szCs w:val="32"/>
        </w:rPr>
        <w:t>七、同步构建充电智能服务平台。</w:t>
      </w:r>
      <w:r>
        <w:rPr>
          <w:rFonts w:ascii="仿宋_GB2312" w:eastAsia="仿宋_GB2312" w:hAnsi="宋体" w:cs="仿宋_GB2312" w:hint="eastAsia"/>
          <w:sz w:val="32"/>
          <w:szCs w:val="32"/>
        </w:rPr>
        <w:t>建立市级充电智能服务平台，统一信息交换协议，有效整合不同企业和不同城市的充电服务平台信息资源，促进不同服务平台之间的互联互通，围绕用户需求</w:t>
      </w:r>
      <w:r>
        <w:rPr>
          <w:rFonts w:ascii="仿宋_GB2312" w:eastAsia="仿宋_GB2312" w:hAnsi="宋体" w:cs="仿宋_GB2312"/>
          <w:sz w:val="32"/>
          <w:szCs w:val="32"/>
        </w:rPr>
        <w:t>,</w:t>
      </w:r>
      <w:r>
        <w:rPr>
          <w:rFonts w:ascii="仿宋_GB2312" w:eastAsia="仿宋_GB2312" w:hAnsi="宋体" w:cs="仿宋_GB2312" w:hint="eastAsia"/>
          <w:sz w:val="32"/>
          <w:szCs w:val="32"/>
        </w:rPr>
        <w:t>为用户提供全市</w:t>
      </w:r>
      <w:r>
        <w:rPr>
          <w:rFonts w:ascii="仿宋_GB2312" w:eastAsia="仿宋_GB2312" w:hAnsi="仿宋" w:cs="仿宋_GB2312" w:hint="eastAsia"/>
          <w:sz w:val="32"/>
          <w:szCs w:val="32"/>
        </w:rPr>
        <w:t>充电导航、状态查询、充电预约、费用结算等服务</w:t>
      </w:r>
      <w:r>
        <w:rPr>
          <w:rFonts w:ascii="仿宋_GB2312" w:eastAsia="仿宋_GB2312" w:hAnsi="仿宋" w:cs="仿宋_GB2312"/>
          <w:sz w:val="32"/>
          <w:szCs w:val="32"/>
        </w:rPr>
        <w:t>,</w:t>
      </w:r>
      <w:r>
        <w:rPr>
          <w:rFonts w:ascii="仿宋_GB2312" w:eastAsia="仿宋_GB2312" w:hAnsi="仿宋" w:cs="仿宋_GB2312" w:hint="eastAsia"/>
          <w:sz w:val="32"/>
          <w:szCs w:val="32"/>
        </w:rPr>
        <w:t>拓展增值等业务</w:t>
      </w:r>
      <w:r>
        <w:rPr>
          <w:rFonts w:ascii="仿宋_GB2312" w:eastAsia="仿宋_GB2312" w:hAnsi="仿宋" w:cs="仿宋_GB2312"/>
          <w:sz w:val="32"/>
          <w:szCs w:val="32"/>
        </w:rPr>
        <w:t>,</w:t>
      </w:r>
      <w:r>
        <w:rPr>
          <w:rFonts w:ascii="仿宋_GB2312" w:eastAsia="仿宋_GB2312" w:hAnsi="仿宋" w:cs="仿宋_GB2312" w:hint="eastAsia"/>
          <w:sz w:val="32"/>
          <w:szCs w:val="32"/>
        </w:rPr>
        <w:t>提升用户体验和运营效率。为制定实施财政、监管等政策提供支撑。</w:t>
      </w:r>
    </w:p>
    <w:p w:rsidR="00291E4B" w:rsidRPr="0025459A" w:rsidRDefault="00291E4B" w:rsidP="006F6AE2">
      <w:pPr>
        <w:spacing w:line="360" w:lineRule="auto"/>
        <w:ind w:firstLineChars="200" w:firstLine="31680"/>
        <w:rPr>
          <w:rFonts w:ascii="仿宋_GB2312" w:eastAsia="仿宋_GB2312" w:hAnsi="仿宋"/>
          <w:b/>
          <w:bCs/>
          <w:sz w:val="32"/>
          <w:szCs w:val="32"/>
        </w:rPr>
      </w:pPr>
      <w:r>
        <w:rPr>
          <w:rFonts w:ascii="仿宋_GB2312" w:eastAsia="仿宋_GB2312" w:hAnsi="仿宋" w:cs="仿宋_GB2312" w:hint="eastAsia"/>
          <w:b/>
          <w:bCs/>
          <w:sz w:val="32"/>
          <w:szCs w:val="32"/>
        </w:rPr>
        <w:t>八、营造良好舆论环境</w:t>
      </w:r>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各有关部门、企业要通过多种媒体形式，加强新能源汽车和充电基础设施各项优惠发展政策、设施规划布局、建设动态等的宣传，充分引导社会各界购买使用电动汽车、全面了解充电基础设施，并吸引更多社会资本投入到充电基础设施的建设运营市场来。</w:t>
      </w:r>
    </w:p>
    <w:p w:rsidR="00291E4B" w:rsidRPr="0025459A" w:rsidRDefault="00291E4B" w:rsidP="003C0653">
      <w:pPr>
        <w:pStyle w:val="Heading2"/>
        <w:rPr>
          <w:rFonts w:cs="Times New Roman"/>
        </w:rPr>
      </w:pPr>
      <w:r w:rsidRPr="009F35EC">
        <w:t xml:space="preserve">  </w:t>
      </w:r>
      <w:bookmarkStart w:id="88" w:name="_Ref457395180"/>
      <w:bookmarkStart w:id="89" w:name="_Toc462643638"/>
      <w:r w:rsidRPr="009F35EC">
        <w:rPr>
          <w:rFonts w:cs="黑体" w:hint="eastAsia"/>
        </w:rPr>
        <w:t>投资规模测算</w:t>
      </w:r>
      <w:bookmarkEnd w:id="88"/>
      <w:bookmarkEnd w:id="89"/>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cs="仿宋_GB2312" w:hint="eastAsia"/>
          <w:sz w:val="32"/>
          <w:szCs w:val="32"/>
        </w:rPr>
        <w:t>参照运营商提供的数据，及</w:t>
      </w:r>
      <w:r>
        <w:rPr>
          <w:rFonts w:ascii="仿宋_GB2312" w:eastAsia="仿宋_GB2312" w:hAnsi="仿宋" w:cs="仿宋_GB2312" w:hint="eastAsia"/>
          <w:sz w:val="32"/>
          <w:szCs w:val="32"/>
        </w:rPr>
        <w:t>《电动汽车充电基础设施发展指南（</w:t>
      </w:r>
      <w:r>
        <w:rPr>
          <w:rFonts w:ascii="仿宋_GB2312" w:eastAsia="仿宋_GB2312" w:hAnsi="仿宋" w:cs="仿宋_GB2312"/>
          <w:sz w:val="32"/>
          <w:szCs w:val="32"/>
        </w:rPr>
        <w:t>2015-2020</w:t>
      </w:r>
      <w:r>
        <w:rPr>
          <w:rFonts w:ascii="仿宋_GB2312" w:eastAsia="仿宋_GB2312" w:hAnsi="仿宋" w:cs="仿宋_GB2312" w:hint="eastAsia"/>
          <w:sz w:val="32"/>
          <w:szCs w:val="32"/>
        </w:rPr>
        <w:t>年）》、《福建省“十三五”电动汽车充电基础设施专项规划》</w:t>
      </w:r>
      <w:r>
        <w:rPr>
          <w:rFonts w:ascii="仿宋_GB2312" w:eastAsia="仿宋_GB2312" w:cs="仿宋_GB2312" w:hint="eastAsia"/>
          <w:sz w:val="32"/>
          <w:szCs w:val="32"/>
        </w:rPr>
        <w:t>的投资测算依据，</w:t>
      </w:r>
      <w:r>
        <w:rPr>
          <w:rFonts w:ascii="仿宋_GB2312" w:eastAsia="仿宋_GB2312" w:hAnsi="仿宋" w:cs="仿宋_GB2312" w:hint="eastAsia"/>
          <w:sz w:val="32"/>
          <w:szCs w:val="32"/>
        </w:rPr>
        <w:t>测算至</w:t>
      </w:r>
      <w:r>
        <w:rPr>
          <w:rFonts w:ascii="仿宋_GB2312" w:eastAsia="仿宋_GB2312" w:hAnsi="仿宋" w:cs="仿宋_GB2312"/>
          <w:sz w:val="32"/>
          <w:szCs w:val="32"/>
        </w:rPr>
        <w:t>2020</w:t>
      </w:r>
      <w:r>
        <w:rPr>
          <w:rFonts w:ascii="仿宋_GB2312" w:eastAsia="仿宋_GB2312" w:hAnsi="仿宋" w:cs="仿宋_GB2312" w:hint="eastAsia"/>
          <w:sz w:val="32"/>
          <w:szCs w:val="32"/>
        </w:rPr>
        <w:t>年，福州充电基础设施共计需投资</w:t>
      </w:r>
      <w:r>
        <w:rPr>
          <w:rFonts w:ascii="仿宋_GB2312" w:eastAsia="仿宋_GB2312" w:hAnsi="仿宋" w:cs="仿宋_GB2312"/>
          <w:sz w:val="32"/>
          <w:szCs w:val="32"/>
        </w:rPr>
        <w:t>11.5</w:t>
      </w:r>
      <w:r>
        <w:rPr>
          <w:rFonts w:ascii="仿宋_GB2312" w:eastAsia="仿宋_GB2312" w:hAnsi="仿宋" w:cs="仿宋_GB2312" w:hint="eastAsia"/>
          <w:sz w:val="32"/>
          <w:szCs w:val="32"/>
        </w:rPr>
        <w:t>～</w:t>
      </w:r>
      <w:r>
        <w:rPr>
          <w:rFonts w:ascii="仿宋_GB2312" w:eastAsia="仿宋_GB2312" w:hAnsi="仿宋" w:cs="仿宋_GB2312"/>
          <w:sz w:val="32"/>
          <w:szCs w:val="32"/>
        </w:rPr>
        <w:t>13</w:t>
      </w:r>
      <w:r>
        <w:rPr>
          <w:rFonts w:ascii="仿宋_GB2312" w:eastAsia="仿宋_GB2312" w:hAnsi="仿宋" w:cs="仿宋_GB2312" w:hint="eastAsia"/>
          <w:sz w:val="32"/>
          <w:szCs w:val="32"/>
        </w:rPr>
        <w:t>亿元，其中公交、环卫物流等充电基础设施投资</w:t>
      </w:r>
      <w:r>
        <w:rPr>
          <w:rFonts w:ascii="仿宋_GB2312" w:eastAsia="仿宋_GB2312" w:hAnsi="仿宋" w:cs="仿宋_GB2312"/>
          <w:sz w:val="32"/>
          <w:szCs w:val="32"/>
        </w:rPr>
        <w:t>4.3</w:t>
      </w:r>
      <w:r>
        <w:rPr>
          <w:rFonts w:ascii="仿宋_GB2312" w:eastAsia="仿宋_GB2312" w:hAnsi="仿宋" w:cs="仿宋_GB2312" w:hint="eastAsia"/>
          <w:sz w:val="32"/>
          <w:szCs w:val="32"/>
        </w:rPr>
        <w:t>～</w:t>
      </w:r>
      <w:r>
        <w:rPr>
          <w:rFonts w:ascii="仿宋_GB2312" w:eastAsia="仿宋_GB2312" w:hAnsi="仿宋" w:cs="仿宋_GB2312"/>
          <w:sz w:val="32"/>
          <w:szCs w:val="32"/>
        </w:rPr>
        <w:t>4.4</w:t>
      </w:r>
      <w:r>
        <w:rPr>
          <w:rFonts w:ascii="仿宋_GB2312" w:eastAsia="仿宋_GB2312" w:hAnsi="仿宋" w:cs="仿宋_GB2312" w:hint="eastAsia"/>
          <w:sz w:val="32"/>
          <w:szCs w:val="32"/>
        </w:rPr>
        <w:t>亿元，公务车与私人乘用车用户专用充电桩投资</w:t>
      </w:r>
      <w:r>
        <w:rPr>
          <w:rFonts w:ascii="仿宋_GB2312" w:eastAsia="仿宋_GB2312" w:hAnsi="仿宋" w:cs="仿宋_GB2312"/>
          <w:sz w:val="32"/>
          <w:szCs w:val="32"/>
        </w:rPr>
        <w:t>1.9</w:t>
      </w:r>
      <w:r>
        <w:rPr>
          <w:rFonts w:ascii="仿宋_GB2312" w:eastAsia="仿宋_GB2312" w:hAnsi="仿宋" w:cs="仿宋_GB2312" w:hint="eastAsia"/>
          <w:sz w:val="32"/>
          <w:szCs w:val="32"/>
        </w:rPr>
        <w:t>～</w:t>
      </w:r>
      <w:r>
        <w:rPr>
          <w:rFonts w:ascii="仿宋_GB2312" w:eastAsia="仿宋_GB2312" w:hAnsi="仿宋" w:cs="仿宋_GB2312"/>
          <w:sz w:val="32"/>
          <w:szCs w:val="32"/>
        </w:rPr>
        <w:t>2.4</w:t>
      </w:r>
      <w:r>
        <w:rPr>
          <w:rFonts w:ascii="仿宋_GB2312" w:eastAsia="仿宋_GB2312" w:hAnsi="仿宋" w:cs="仿宋_GB2312" w:hint="eastAsia"/>
          <w:sz w:val="32"/>
          <w:szCs w:val="32"/>
        </w:rPr>
        <w:t>亿元，公共充电站及城际快充站投资</w:t>
      </w:r>
      <w:r>
        <w:rPr>
          <w:rFonts w:ascii="仿宋_GB2312" w:eastAsia="仿宋_GB2312" w:hAnsi="仿宋" w:cs="仿宋_GB2312"/>
          <w:sz w:val="32"/>
          <w:szCs w:val="32"/>
        </w:rPr>
        <w:t>5.4</w:t>
      </w:r>
      <w:r>
        <w:rPr>
          <w:rFonts w:ascii="仿宋_GB2312" w:eastAsia="仿宋_GB2312" w:hAnsi="仿宋" w:cs="仿宋_GB2312" w:hint="eastAsia"/>
          <w:sz w:val="32"/>
          <w:szCs w:val="32"/>
        </w:rPr>
        <w:t>～</w:t>
      </w:r>
      <w:r>
        <w:rPr>
          <w:rFonts w:ascii="仿宋_GB2312" w:eastAsia="仿宋_GB2312" w:hAnsi="仿宋" w:cs="仿宋_GB2312"/>
          <w:sz w:val="32"/>
          <w:szCs w:val="32"/>
        </w:rPr>
        <w:t>6.3</w:t>
      </w:r>
      <w:r>
        <w:rPr>
          <w:rFonts w:ascii="仿宋_GB2312" w:eastAsia="仿宋_GB2312" w:hAnsi="仿宋" w:cs="仿宋_GB2312" w:hint="eastAsia"/>
          <w:sz w:val="32"/>
          <w:szCs w:val="32"/>
        </w:rPr>
        <w:t>亿元。</w:t>
      </w:r>
    </w:p>
    <w:p w:rsidR="00291E4B" w:rsidRPr="0025459A" w:rsidRDefault="00291E4B" w:rsidP="00196145">
      <w:pPr>
        <w:pStyle w:val="Heading2"/>
        <w:rPr>
          <w:rFonts w:cs="Times New Roman"/>
        </w:rPr>
      </w:pPr>
      <w:r w:rsidRPr="009F35EC">
        <w:t xml:space="preserve">  </w:t>
      </w:r>
      <w:bookmarkStart w:id="90" w:name="_Toc462643639"/>
      <w:r w:rsidRPr="009F35EC">
        <w:rPr>
          <w:rFonts w:cs="黑体" w:hint="eastAsia"/>
        </w:rPr>
        <w:t>实施效果</w:t>
      </w:r>
      <w:bookmarkEnd w:id="90"/>
    </w:p>
    <w:p w:rsidR="00291E4B" w:rsidRPr="0025459A" w:rsidRDefault="00291E4B" w:rsidP="006F6AE2">
      <w:pPr>
        <w:spacing w:line="360" w:lineRule="auto"/>
        <w:ind w:firstLineChars="200" w:firstLine="31680"/>
        <w:rPr>
          <w:rFonts w:ascii="仿宋_GB2312" w:eastAsia="仿宋_GB2312" w:hAnsi="仿宋"/>
          <w:sz w:val="32"/>
          <w:szCs w:val="32"/>
        </w:rPr>
      </w:pPr>
      <w:r>
        <w:rPr>
          <w:rFonts w:ascii="仿宋_GB2312" w:eastAsia="仿宋_GB2312" w:hAnsi="仿宋" w:cs="仿宋_GB2312" w:hint="eastAsia"/>
          <w:sz w:val="32"/>
          <w:szCs w:val="32"/>
        </w:rPr>
        <w:t>按照本规划预计的电动汽车规模及充电基础设施建设规模，从</w:t>
      </w:r>
      <w:r>
        <w:rPr>
          <w:rFonts w:ascii="仿宋_GB2312" w:eastAsia="仿宋_GB2312" w:hAnsi="仿宋" w:cs="仿宋_GB2312"/>
          <w:sz w:val="32"/>
          <w:szCs w:val="32"/>
        </w:rPr>
        <w:t>2016</w:t>
      </w:r>
      <w:r>
        <w:rPr>
          <w:rFonts w:ascii="仿宋_GB2312" w:eastAsia="仿宋_GB2312" w:hAnsi="仿宋" w:cs="仿宋_GB2312" w:hint="eastAsia"/>
          <w:sz w:val="32"/>
          <w:szCs w:val="32"/>
        </w:rPr>
        <w:t>年至</w:t>
      </w:r>
      <w:r>
        <w:rPr>
          <w:rFonts w:ascii="仿宋_GB2312" w:eastAsia="仿宋_GB2312" w:hAnsi="仿宋" w:cs="仿宋_GB2312"/>
          <w:sz w:val="32"/>
          <w:szCs w:val="32"/>
        </w:rPr>
        <w:t>2020</w:t>
      </w:r>
      <w:r>
        <w:rPr>
          <w:rFonts w:ascii="仿宋_GB2312" w:eastAsia="仿宋_GB2312" w:hAnsi="仿宋" w:cs="仿宋_GB2312" w:hint="eastAsia"/>
          <w:sz w:val="32"/>
          <w:szCs w:val="32"/>
        </w:rPr>
        <w:t>年可实现累计充电电量约</w:t>
      </w:r>
      <w:r>
        <w:rPr>
          <w:rFonts w:ascii="仿宋_GB2312" w:eastAsia="仿宋_GB2312" w:hAnsi="仿宋" w:cs="仿宋_GB2312"/>
          <w:sz w:val="32"/>
          <w:szCs w:val="32"/>
        </w:rPr>
        <w:t>3.1</w:t>
      </w:r>
      <w:r>
        <w:rPr>
          <w:rFonts w:ascii="仿宋_GB2312" w:eastAsia="仿宋_GB2312" w:hAnsi="仿宋" w:cs="仿宋_GB2312" w:hint="eastAsia"/>
          <w:sz w:val="32"/>
          <w:szCs w:val="32"/>
        </w:rPr>
        <w:t>亿千瓦时，节约替代燃油</w:t>
      </w:r>
      <w:r>
        <w:rPr>
          <w:rFonts w:ascii="仿宋_GB2312" w:eastAsia="仿宋_GB2312" w:hAnsi="仿宋" w:cs="仿宋_GB2312"/>
          <w:sz w:val="32"/>
          <w:szCs w:val="32"/>
        </w:rPr>
        <w:t>1.25</w:t>
      </w:r>
      <w:r>
        <w:rPr>
          <w:rFonts w:ascii="仿宋_GB2312" w:eastAsia="仿宋_GB2312" w:hAnsi="仿宋" w:cs="仿宋_GB2312" w:hint="eastAsia"/>
          <w:sz w:val="32"/>
          <w:szCs w:val="32"/>
        </w:rPr>
        <w:t>亿吨，减少二氧化碳排放量约</w:t>
      </w:r>
      <w:r>
        <w:rPr>
          <w:rFonts w:ascii="仿宋_GB2312" w:eastAsia="仿宋_GB2312" w:hAnsi="仿宋" w:cs="仿宋_GB2312"/>
          <w:sz w:val="32"/>
          <w:szCs w:val="32"/>
        </w:rPr>
        <w:t>0.89</w:t>
      </w:r>
      <w:r>
        <w:rPr>
          <w:rFonts w:ascii="仿宋_GB2312" w:eastAsia="仿宋_GB2312" w:hAnsi="仿宋" w:cs="仿宋_GB2312" w:hint="eastAsia"/>
          <w:sz w:val="32"/>
          <w:szCs w:val="32"/>
        </w:rPr>
        <w:t>亿吨。</w:t>
      </w:r>
    </w:p>
    <w:p w:rsidR="00291E4B" w:rsidRPr="0025459A" w:rsidRDefault="00291E4B" w:rsidP="00725AC9">
      <w:pPr>
        <w:spacing w:line="360" w:lineRule="auto"/>
        <w:ind w:firstLineChars="200" w:firstLine="31680"/>
        <w:rPr>
          <w:sz w:val="30"/>
          <w:szCs w:val="30"/>
        </w:rPr>
      </w:pPr>
      <w:r>
        <w:rPr>
          <w:rFonts w:ascii="仿宋_GB2312" w:eastAsia="仿宋_GB2312" w:hAnsi="仿宋" w:cs="仿宋_GB2312" w:hint="eastAsia"/>
          <w:sz w:val="32"/>
          <w:szCs w:val="32"/>
        </w:rPr>
        <w:t>充电设施建设总投资规模达</w:t>
      </w:r>
      <w:r>
        <w:rPr>
          <w:rFonts w:ascii="仿宋_GB2312" w:eastAsia="仿宋_GB2312" w:hAnsi="仿宋" w:cs="仿宋_GB2312"/>
          <w:sz w:val="32"/>
          <w:szCs w:val="32"/>
        </w:rPr>
        <w:t>11.5</w:t>
      </w:r>
      <w:r>
        <w:rPr>
          <w:rFonts w:ascii="仿宋_GB2312" w:eastAsia="仿宋_GB2312" w:hAnsi="仿宋" w:cs="仿宋_GB2312" w:hint="eastAsia"/>
          <w:sz w:val="32"/>
          <w:szCs w:val="32"/>
        </w:rPr>
        <w:t>～</w:t>
      </w:r>
      <w:r>
        <w:rPr>
          <w:rFonts w:ascii="仿宋_GB2312" w:eastAsia="仿宋_GB2312" w:hAnsi="仿宋" w:cs="仿宋_GB2312"/>
          <w:sz w:val="32"/>
          <w:szCs w:val="32"/>
        </w:rPr>
        <w:t>13</w:t>
      </w:r>
      <w:r>
        <w:rPr>
          <w:rFonts w:ascii="仿宋_GB2312" w:eastAsia="仿宋_GB2312" w:hAnsi="仿宋" w:cs="仿宋_GB2312" w:hint="eastAsia"/>
          <w:sz w:val="32"/>
          <w:szCs w:val="32"/>
        </w:rPr>
        <w:t>亿元，可拉动电动汽车动力电池产值</w:t>
      </w:r>
      <w:r>
        <w:rPr>
          <w:rFonts w:ascii="仿宋_GB2312" w:eastAsia="仿宋_GB2312" w:hAnsi="仿宋" w:cs="仿宋_GB2312"/>
          <w:sz w:val="32"/>
          <w:szCs w:val="32"/>
        </w:rPr>
        <w:t>58</w:t>
      </w:r>
      <w:r>
        <w:rPr>
          <w:rFonts w:ascii="仿宋_GB2312" w:eastAsia="仿宋_GB2312" w:hAnsi="仿宋" w:cs="仿宋_GB2312" w:hint="eastAsia"/>
          <w:sz w:val="32"/>
          <w:szCs w:val="32"/>
        </w:rPr>
        <w:t>～</w:t>
      </w:r>
      <w:r>
        <w:rPr>
          <w:rFonts w:ascii="仿宋_GB2312" w:eastAsia="仿宋_GB2312" w:hAnsi="仿宋" w:cs="仿宋_GB2312"/>
          <w:sz w:val="32"/>
          <w:szCs w:val="32"/>
        </w:rPr>
        <w:t>67</w:t>
      </w:r>
      <w:r>
        <w:rPr>
          <w:rFonts w:ascii="仿宋_GB2312" w:eastAsia="仿宋_GB2312" w:hAnsi="仿宋" w:cs="仿宋_GB2312" w:hint="eastAsia"/>
          <w:sz w:val="32"/>
          <w:szCs w:val="32"/>
        </w:rPr>
        <w:t>亿元，拉动电动汽车产值</w:t>
      </w:r>
      <w:r>
        <w:rPr>
          <w:rFonts w:ascii="仿宋_GB2312" w:eastAsia="仿宋_GB2312" w:hAnsi="仿宋" w:cs="仿宋_GB2312"/>
          <w:sz w:val="32"/>
          <w:szCs w:val="32"/>
        </w:rPr>
        <w:t>83</w:t>
      </w:r>
      <w:r>
        <w:rPr>
          <w:rFonts w:ascii="仿宋_GB2312" w:eastAsia="仿宋_GB2312" w:hAnsi="仿宋" w:cs="仿宋_GB2312" w:hint="eastAsia"/>
          <w:sz w:val="32"/>
          <w:szCs w:val="32"/>
        </w:rPr>
        <w:t>～</w:t>
      </w:r>
      <w:r>
        <w:rPr>
          <w:rFonts w:ascii="仿宋_GB2312" w:eastAsia="仿宋_GB2312" w:hAnsi="仿宋" w:cs="仿宋_GB2312"/>
          <w:sz w:val="32"/>
          <w:szCs w:val="32"/>
        </w:rPr>
        <w:t>95</w:t>
      </w:r>
      <w:r>
        <w:rPr>
          <w:rFonts w:ascii="仿宋_GB2312" w:eastAsia="仿宋_GB2312" w:hAnsi="仿宋" w:cs="仿宋_GB2312" w:hint="eastAsia"/>
          <w:sz w:val="32"/>
          <w:szCs w:val="32"/>
        </w:rPr>
        <w:t>亿元。</w:t>
      </w:r>
    </w:p>
    <w:sectPr w:rsidR="00291E4B" w:rsidRPr="0025459A" w:rsidSect="00165996">
      <w:footerReference w:type="default" r:id="rId7"/>
      <w:pgSz w:w="23814" w:h="16840" w:orient="landscape" w:code="8"/>
      <w:pgMar w:top="1797" w:right="1440" w:bottom="1797" w:left="1440" w:header="851" w:footer="992" w:gutter="0"/>
      <w:cols w:num="2" w:space="1416"/>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E4B" w:rsidRDefault="00291E4B">
      <w:r>
        <w:separator/>
      </w:r>
    </w:p>
  </w:endnote>
  <w:endnote w:type="continuationSeparator" w:id="1">
    <w:p w:rsidR="00291E4B" w:rsidRDefault="00291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4B" w:rsidRDefault="00291E4B">
    <w:pPr>
      <w:pStyle w:val="Footer"/>
      <w:jc w:val="center"/>
    </w:pPr>
    <w:fldSimple w:instr=" PAGE   \* MERGEFORMAT ">
      <w:r w:rsidRPr="006F6AE2">
        <w:rPr>
          <w:noProof/>
          <w:lang w:val="zh-CN"/>
        </w:rPr>
        <w:t>2</w:t>
      </w:r>
    </w:fldSimple>
  </w:p>
  <w:p w:rsidR="00291E4B" w:rsidRDefault="00291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E4B" w:rsidRDefault="00291E4B">
      <w:r>
        <w:separator/>
      </w:r>
    </w:p>
  </w:footnote>
  <w:footnote w:type="continuationSeparator" w:id="1">
    <w:p w:rsidR="00291E4B" w:rsidRDefault="00291E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E159E"/>
    <w:multiLevelType w:val="multilevel"/>
    <w:tmpl w:val="0CFED7A6"/>
    <w:lvl w:ilvl="0">
      <w:start w:val="1"/>
      <w:numFmt w:val="decimal"/>
      <w:pStyle w:val="Heading1"/>
      <w:isLgl/>
      <w:suff w:val="nothing"/>
      <w:lvlText w:val="第%1章  "/>
      <w:lvlJc w:val="left"/>
      <w:rPr>
        <w:rFonts w:eastAsia="黑体" w:hint="eastAsia"/>
        <w:b/>
        <w:bCs/>
        <w:i w:val="0"/>
        <w:iCs w:val="0"/>
        <w:sz w:val="32"/>
        <w:szCs w:val="32"/>
      </w:rPr>
    </w:lvl>
    <w:lvl w:ilvl="1">
      <w:start w:val="1"/>
      <w:numFmt w:val="decimal"/>
      <w:pStyle w:val="Heading2"/>
      <w:suff w:val="nothing"/>
      <w:lvlText w:val="%1.%2"/>
      <w:lvlJc w:val="left"/>
      <w:pPr>
        <w:ind w:left="720"/>
      </w:pPr>
      <w:rPr>
        <w:rFonts w:eastAsia="仿宋_GB2312" w:hint="eastAsia"/>
        <w:b/>
        <w:bCs/>
        <w:i w:val="0"/>
        <w:iCs w:val="0"/>
        <w:sz w:val="32"/>
        <w:szCs w:val="32"/>
      </w:rPr>
    </w:lvl>
    <w:lvl w:ilvl="2">
      <w:start w:val="1"/>
      <w:numFmt w:val="decimal"/>
      <w:pStyle w:val="Heading3"/>
      <w:suff w:val="nothing"/>
      <w:lvlText w:val="%1.%2.%3"/>
      <w:lvlJc w:val="left"/>
      <w:rPr>
        <w:rFonts w:eastAsia="仿宋_GB2312" w:hint="eastAsia"/>
        <w:b/>
        <w:bCs/>
        <w:i w:val="0"/>
        <w:iCs w:val="0"/>
        <w:sz w:val="30"/>
        <w:szCs w:val="30"/>
      </w:rPr>
    </w:lvl>
    <w:lvl w:ilvl="3">
      <w:start w:val="1"/>
      <w:numFmt w:val="decimal"/>
      <w:pStyle w:val="Heading4"/>
      <w:suff w:val="nothing"/>
      <w:lvlText w:val="%1.%2.%3.%4"/>
      <w:lvlJc w:val="left"/>
      <w:rPr>
        <w:rFonts w:eastAsia="仿宋_GB2312" w:hint="eastAsia"/>
        <w:sz w:val="30"/>
        <w:szCs w:val="30"/>
      </w:rPr>
    </w:lvl>
    <w:lvl w:ilvl="4">
      <w:start w:val="1"/>
      <w:numFmt w:val="decimal"/>
      <w:pStyle w:val="Heading5"/>
      <w:suff w:val="nothing"/>
      <w:lvlText w:val="%1.%2.%3.%4.%5"/>
      <w:lvlJc w:val="left"/>
      <w:rPr>
        <w:rFonts w:eastAsia="仿宋_GB2312" w:hint="eastAsia"/>
        <w:sz w:val="30"/>
        <w:szCs w:val="30"/>
      </w:rPr>
    </w:lvl>
    <w:lvl w:ilvl="5">
      <w:start w:val="1"/>
      <w:numFmt w:val="none"/>
      <w:pStyle w:val="Heading6"/>
      <w:suff w:val="nothing"/>
      <w:lvlText w:val=""/>
      <w:lvlJc w:val="left"/>
      <w:rPr>
        <w:rFonts w:hint="eastAsia"/>
      </w:rPr>
    </w:lvl>
    <w:lvl w:ilvl="6">
      <w:start w:val="1"/>
      <w:numFmt w:val="none"/>
      <w:pStyle w:val="Heading7"/>
      <w:suff w:val="nothing"/>
      <w:lvlText w:val=""/>
      <w:lvlJc w:val="left"/>
      <w:rPr>
        <w:rFonts w:hint="eastAsia"/>
      </w:rPr>
    </w:lvl>
    <w:lvl w:ilvl="7">
      <w:start w:val="1"/>
      <w:numFmt w:val="none"/>
      <w:pStyle w:val="Heading8"/>
      <w:suff w:val="nothing"/>
      <w:lvlText w:val=""/>
      <w:lvlJc w:val="left"/>
      <w:rPr>
        <w:rFonts w:hint="eastAsia"/>
      </w:rPr>
    </w:lvl>
    <w:lvl w:ilvl="8">
      <w:start w:val="1"/>
      <w:numFmt w:val="none"/>
      <w:pStyle w:val="Heading9"/>
      <w:suff w:val="nothing"/>
      <w:lvlText w:val=""/>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86B"/>
    <w:rsid w:val="00001A57"/>
    <w:rsid w:val="00004062"/>
    <w:rsid w:val="000044B7"/>
    <w:rsid w:val="000059D9"/>
    <w:rsid w:val="0000677F"/>
    <w:rsid w:val="0001024D"/>
    <w:rsid w:val="00012AE9"/>
    <w:rsid w:val="00013052"/>
    <w:rsid w:val="0001573F"/>
    <w:rsid w:val="000203DB"/>
    <w:rsid w:val="00021A5D"/>
    <w:rsid w:val="00032607"/>
    <w:rsid w:val="0003522F"/>
    <w:rsid w:val="00036029"/>
    <w:rsid w:val="00036A5D"/>
    <w:rsid w:val="00040E76"/>
    <w:rsid w:val="00040EAA"/>
    <w:rsid w:val="00043ABC"/>
    <w:rsid w:val="00044656"/>
    <w:rsid w:val="000446E0"/>
    <w:rsid w:val="00045E0D"/>
    <w:rsid w:val="00046107"/>
    <w:rsid w:val="000473DF"/>
    <w:rsid w:val="00047842"/>
    <w:rsid w:val="00047F3C"/>
    <w:rsid w:val="00050F1C"/>
    <w:rsid w:val="000546AD"/>
    <w:rsid w:val="000556E2"/>
    <w:rsid w:val="000558E6"/>
    <w:rsid w:val="00060680"/>
    <w:rsid w:val="00060849"/>
    <w:rsid w:val="00061278"/>
    <w:rsid w:val="0006275E"/>
    <w:rsid w:val="00062796"/>
    <w:rsid w:val="00062E1E"/>
    <w:rsid w:val="0006462B"/>
    <w:rsid w:val="000663DE"/>
    <w:rsid w:val="00074425"/>
    <w:rsid w:val="00074F36"/>
    <w:rsid w:val="00076D62"/>
    <w:rsid w:val="000821E5"/>
    <w:rsid w:val="00084AC7"/>
    <w:rsid w:val="00091AF8"/>
    <w:rsid w:val="000929C4"/>
    <w:rsid w:val="00093977"/>
    <w:rsid w:val="00094EB8"/>
    <w:rsid w:val="00095C72"/>
    <w:rsid w:val="000A0FDF"/>
    <w:rsid w:val="000A1DFD"/>
    <w:rsid w:val="000A3724"/>
    <w:rsid w:val="000A466B"/>
    <w:rsid w:val="000A65AC"/>
    <w:rsid w:val="000A757A"/>
    <w:rsid w:val="000B1F8B"/>
    <w:rsid w:val="000B2552"/>
    <w:rsid w:val="000B41F9"/>
    <w:rsid w:val="000C2410"/>
    <w:rsid w:val="000C3545"/>
    <w:rsid w:val="000C433B"/>
    <w:rsid w:val="000C55A1"/>
    <w:rsid w:val="000D18F0"/>
    <w:rsid w:val="000E06B3"/>
    <w:rsid w:val="000E6D66"/>
    <w:rsid w:val="000F0054"/>
    <w:rsid w:val="000F0871"/>
    <w:rsid w:val="000F1353"/>
    <w:rsid w:val="000F2832"/>
    <w:rsid w:val="000F2DD3"/>
    <w:rsid w:val="000F57BD"/>
    <w:rsid w:val="000F6106"/>
    <w:rsid w:val="00101939"/>
    <w:rsid w:val="00102072"/>
    <w:rsid w:val="001047BF"/>
    <w:rsid w:val="0010661F"/>
    <w:rsid w:val="0010680B"/>
    <w:rsid w:val="00107DAD"/>
    <w:rsid w:val="00110AE8"/>
    <w:rsid w:val="00112B0E"/>
    <w:rsid w:val="001147FD"/>
    <w:rsid w:val="0011635E"/>
    <w:rsid w:val="0012056F"/>
    <w:rsid w:val="0012228F"/>
    <w:rsid w:val="00122FC1"/>
    <w:rsid w:val="00124F2D"/>
    <w:rsid w:val="00131012"/>
    <w:rsid w:val="00143255"/>
    <w:rsid w:val="001466E3"/>
    <w:rsid w:val="00146707"/>
    <w:rsid w:val="00146DDC"/>
    <w:rsid w:val="00147BC1"/>
    <w:rsid w:val="00155CD4"/>
    <w:rsid w:val="0015613F"/>
    <w:rsid w:val="00161649"/>
    <w:rsid w:val="00161D0E"/>
    <w:rsid w:val="001626F8"/>
    <w:rsid w:val="00165102"/>
    <w:rsid w:val="0016586D"/>
    <w:rsid w:val="00165996"/>
    <w:rsid w:val="00167FEA"/>
    <w:rsid w:val="00176EC3"/>
    <w:rsid w:val="001859AD"/>
    <w:rsid w:val="00185F33"/>
    <w:rsid w:val="001900EF"/>
    <w:rsid w:val="00190689"/>
    <w:rsid w:val="0019080C"/>
    <w:rsid w:val="0019312D"/>
    <w:rsid w:val="001945BF"/>
    <w:rsid w:val="00196145"/>
    <w:rsid w:val="00197C40"/>
    <w:rsid w:val="001B4FC0"/>
    <w:rsid w:val="001B6F30"/>
    <w:rsid w:val="001C3F51"/>
    <w:rsid w:val="001C4D6B"/>
    <w:rsid w:val="001C5330"/>
    <w:rsid w:val="001C6F26"/>
    <w:rsid w:val="001D1EE7"/>
    <w:rsid w:val="001D2075"/>
    <w:rsid w:val="001E018A"/>
    <w:rsid w:val="001E0C5C"/>
    <w:rsid w:val="001E3C67"/>
    <w:rsid w:val="001E67A5"/>
    <w:rsid w:val="001E6B3E"/>
    <w:rsid w:val="001F2679"/>
    <w:rsid w:val="001F2729"/>
    <w:rsid w:val="001F3D31"/>
    <w:rsid w:val="001F46C2"/>
    <w:rsid w:val="001F622E"/>
    <w:rsid w:val="0021056A"/>
    <w:rsid w:val="00211778"/>
    <w:rsid w:val="00212FC6"/>
    <w:rsid w:val="002136E9"/>
    <w:rsid w:val="00221750"/>
    <w:rsid w:val="00221E21"/>
    <w:rsid w:val="0022585B"/>
    <w:rsid w:val="0022778E"/>
    <w:rsid w:val="00232A79"/>
    <w:rsid w:val="0023746E"/>
    <w:rsid w:val="0023792F"/>
    <w:rsid w:val="00240161"/>
    <w:rsid w:val="00245371"/>
    <w:rsid w:val="00251835"/>
    <w:rsid w:val="00251882"/>
    <w:rsid w:val="0025366A"/>
    <w:rsid w:val="0025459A"/>
    <w:rsid w:val="0025632A"/>
    <w:rsid w:val="00256E82"/>
    <w:rsid w:val="00260B20"/>
    <w:rsid w:val="002655F3"/>
    <w:rsid w:val="002721C7"/>
    <w:rsid w:val="00275CB4"/>
    <w:rsid w:val="00280328"/>
    <w:rsid w:val="002816FB"/>
    <w:rsid w:val="00281C0D"/>
    <w:rsid w:val="00282CFA"/>
    <w:rsid w:val="00286393"/>
    <w:rsid w:val="00291E4B"/>
    <w:rsid w:val="0029422D"/>
    <w:rsid w:val="002A52C3"/>
    <w:rsid w:val="002A5825"/>
    <w:rsid w:val="002B2AAB"/>
    <w:rsid w:val="002B4BDB"/>
    <w:rsid w:val="002B6D2B"/>
    <w:rsid w:val="002B78C4"/>
    <w:rsid w:val="002B791E"/>
    <w:rsid w:val="002C0B03"/>
    <w:rsid w:val="002C2C62"/>
    <w:rsid w:val="002C32FF"/>
    <w:rsid w:val="002C3C10"/>
    <w:rsid w:val="002C526C"/>
    <w:rsid w:val="002C5F62"/>
    <w:rsid w:val="002C6817"/>
    <w:rsid w:val="002C7616"/>
    <w:rsid w:val="002C7D85"/>
    <w:rsid w:val="002D27B0"/>
    <w:rsid w:val="002D2E26"/>
    <w:rsid w:val="002D6096"/>
    <w:rsid w:val="002E113A"/>
    <w:rsid w:val="002E283E"/>
    <w:rsid w:val="002E4697"/>
    <w:rsid w:val="002E5582"/>
    <w:rsid w:val="002E5AF1"/>
    <w:rsid w:val="002E71F8"/>
    <w:rsid w:val="002F1C7A"/>
    <w:rsid w:val="002F2370"/>
    <w:rsid w:val="002F45DA"/>
    <w:rsid w:val="002F560B"/>
    <w:rsid w:val="002F5CB1"/>
    <w:rsid w:val="002F7CD1"/>
    <w:rsid w:val="00304CCC"/>
    <w:rsid w:val="00304EB7"/>
    <w:rsid w:val="00306446"/>
    <w:rsid w:val="003147A1"/>
    <w:rsid w:val="00314F0B"/>
    <w:rsid w:val="00316500"/>
    <w:rsid w:val="003205E0"/>
    <w:rsid w:val="00321A9B"/>
    <w:rsid w:val="00321AF4"/>
    <w:rsid w:val="00325FC3"/>
    <w:rsid w:val="003261F0"/>
    <w:rsid w:val="003324F1"/>
    <w:rsid w:val="00332829"/>
    <w:rsid w:val="00336A82"/>
    <w:rsid w:val="0034030C"/>
    <w:rsid w:val="00340B1B"/>
    <w:rsid w:val="00342520"/>
    <w:rsid w:val="00344367"/>
    <w:rsid w:val="0034710D"/>
    <w:rsid w:val="00351068"/>
    <w:rsid w:val="00351697"/>
    <w:rsid w:val="00353A15"/>
    <w:rsid w:val="00355798"/>
    <w:rsid w:val="00357BE6"/>
    <w:rsid w:val="00366F63"/>
    <w:rsid w:val="00370E73"/>
    <w:rsid w:val="00375057"/>
    <w:rsid w:val="00376AA4"/>
    <w:rsid w:val="0037763F"/>
    <w:rsid w:val="00381811"/>
    <w:rsid w:val="00383A2A"/>
    <w:rsid w:val="003927D9"/>
    <w:rsid w:val="00397371"/>
    <w:rsid w:val="003A0223"/>
    <w:rsid w:val="003A02CD"/>
    <w:rsid w:val="003B1208"/>
    <w:rsid w:val="003B2F62"/>
    <w:rsid w:val="003B4C6F"/>
    <w:rsid w:val="003C0653"/>
    <w:rsid w:val="003C14FA"/>
    <w:rsid w:val="003C2081"/>
    <w:rsid w:val="003C26DD"/>
    <w:rsid w:val="003C2DF4"/>
    <w:rsid w:val="003C5AC5"/>
    <w:rsid w:val="003C5C61"/>
    <w:rsid w:val="003D28CF"/>
    <w:rsid w:val="003D6FDD"/>
    <w:rsid w:val="003D79C2"/>
    <w:rsid w:val="003E041C"/>
    <w:rsid w:val="003E3D8E"/>
    <w:rsid w:val="003E3EE3"/>
    <w:rsid w:val="003E5518"/>
    <w:rsid w:val="003E56EB"/>
    <w:rsid w:val="003E5D5D"/>
    <w:rsid w:val="003F2958"/>
    <w:rsid w:val="003F58C9"/>
    <w:rsid w:val="003F6246"/>
    <w:rsid w:val="003F71AA"/>
    <w:rsid w:val="003F7DA2"/>
    <w:rsid w:val="0040156A"/>
    <w:rsid w:val="004129DC"/>
    <w:rsid w:val="00417DE0"/>
    <w:rsid w:val="00420699"/>
    <w:rsid w:val="00420AB3"/>
    <w:rsid w:val="00422DDA"/>
    <w:rsid w:val="00423715"/>
    <w:rsid w:val="00424CEF"/>
    <w:rsid w:val="00425C0F"/>
    <w:rsid w:val="00426AA2"/>
    <w:rsid w:val="00426AB6"/>
    <w:rsid w:val="00430233"/>
    <w:rsid w:val="00435758"/>
    <w:rsid w:val="00435D38"/>
    <w:rsid w:val="00435DA4"/>
    <w:rsid w:val="0043638D"/>
    <w:rsid w:val="004367FA"/>
    <w:rsid w:val="00440E11"/>
    <w:rsid w:val="004419AF"/>
    <w:rsid w:val="00445880"/>
    <w:rsid w:val="00450A01"/>
    <w:rsid w:val="00451233"/>
    <w:rsid w:val="00453751"/>
    <w:rsid w:val="0045381A"/>
    <w:rsid w:val="004543FF"/>
    <w:rsid w:val="00454A26"/>
    <w:rsid w:val="00455FB2"/>
    <w:rsid w:val="0045628B"/>
    <w:rsid w:val="00457CD8"/>
    <w:rsid w:val="004606FD"/>
    <w:rsid w:val="0046236E"/>
    <w:rsid w:val="004635EA"/>
    <w:rsid w:val="004679A1"/>
    <w:rsid w:val="00470BB8"/>
    <w:rsid w:val="004736D7"/>
    <w:rsid w:val="004763EA"/>
    <w:rsid w:val="00482AB5"/>
    <w:rsid w:val="00483C7D"/>
    <w:rsid w:val="00490264"/>
    <w:rsid w:val="004906A0"/>
    <w:rsid w:val="00494512"/>
    <w:rsid w:val="004956EB"/>
    <w:rsid w:val="004978EE"/>
    <w:rsid w:val="004A0729"/>
    <w:rsid w:val="004A592B"/>
    <w:rsid w:val="004A6147"/>
    <w:rsid w:val="004B0E27"/>
    <w:rsid w:val="004B3225"/>
    <w:rsid w:val="004B44DA"/>
    <w:rsid w:val="004B5739"/>
    <w:rsid w:val="004B5BB5"/>
    <w:rsid w:val="004C0368"/>
    <w:rsid w:val="004C6AA3"/>
    <w:rsid w:val="004D0225"/>
    <w:rsid w:val="004D056D"/>
    <w:rsid w:val="004D07FD"/>
    <w:rsid w:val="004D26FA"/>
    <w:rsid w:val="004D431A"/>
    <w:rsid w:val="004D638E"/>
    <w:rsid w:val="004E32DC"/>
    <w:rsid w:val="004E5AC0"/>
    <w:rsid w:val="004F1A8D"/>
    <w:rsid w:val="004F41A6"/>
    <w:rsid w:val="004F461D"/>
    <w:rsid w:val="004F62F0"/>
    <w:rsid w:val="00500DCC"/>
    <w:rsid w:val="00502A53"/>
    <w:rsid w:val="00502C92"/>
    <w:rsid w:val="00503734"/>
    <w:rsid w:val="005038A4"/>
    <w:rsid w:val="00511CEB"/>
    <w:rsid w:val="00512C99"/>
    <w:rsid w:val="00515BEE"/>
    <w:rsid w:val="00515F29"/>
    <w:rsid w:val="00521D26"/>
    <w:rsid w:val="00521DBB"/>
    <w:rsid w:val="005228BA"/>
    <w:rsid w:val="00522A08"/>
    <w:rsid w:val="005332D6"/>
    <w:rsid w:val="00533A46"/>
    <w:rsid w:val="00533C86"/>
    <w:rsid w:val="00533FF1"/>
    <w:rsid w:val="005374FC"/>
    <w:rsid w:val="00540EC2"/>
    <w:rsid w:val="00543C3C"/>
    <w:rsid w:val="0054734C"/>
    <w:rsid w:val="0054777A"/>
    <w:rsid w:val="00554333"/>
    <w:rsid w:val="0055474E"/>
    <w:rsid w:val="00565648"/>
    <w:rsid w:val="00566812"/>
    <w:rsid w:val="00566FC7"/>
    <w:rsid w:val="00577473"/>
    <w:rsid w:val="00586743"/>
    <w:rsid w:val="00591D89"/>
    <w:rsid w:val="00595150"/>
    <w:rsid w:val="00596932"/>
    <w:rsid w:val="005A2680"/>
    <w:rsid w:val="005A307D"/>
    <w:rsid w:val="005A4092"/>
    <w:rsid w:val="005A6BC3"/>
    <w:rsid w:val="005A7EC5"/>
    <w:rsid w:val="005B0DCB"/>
    <w:rsid w:val="005B1DFA"/>
    <w:rsid w:val="005B23DF"/>
    <w:rsid w:val="005B4A9A"/>
    <w:rsid w:val="005C1683"/>
    <w:rsid w:val="005C558E"/>
    <w:rsid w:val="005C6555"/>
    <w:rsid w:val="005C65AC"/>
    <w:rsid w:val="005D0E3F"/>
    <w:rsid w:val="005D2137"/>
    <w:rsid w:val="005E2B06"/>
    <w:rsid w:val="005E42F6"/>
    <w:rsid w:val="005E77DA"/>
    <w:rsid w:val="005E7942"/>
    <w:rsid w:val="005F0A41"/>
    <w:rsid w:val="005F2E08"/>
    <w:rsid w:val="005F5CE4"/>
    <w:rsid w:val="00602AD6"/>
    <w:rsid w:val="00602ED0"/>
    <w:rsid w:val="006052F9"/>
    <w:rsid w:val="0061016A"/>
    <w:rsid w:val="006116C4"/>
    <w:rsid w:val="00613EBB"/>
    <w:rsid w:val="0062468E"/>
    <w:rsid w:val="00625A8A"/>
    <w:rsid w:val="00625EB5"/>
    <w:rsid w:val="00630596"/>
    <w:rsid w:val="006317D7"/>
    <w:rsid w:val="00635946"/>
    <w:rsid w:val="00641509"/>
    <w:rsid w:val="006422B8"/>
    <w:rsid w:val="00646274"/>
    <w:rsid w:val="00654135"/>
    <w:rsid w:val="006558D8"/>
    <w:rsid w:val="00661725"/>
    <w:rsid w:val="00661B6F"/>
    <w:rsid w:val="00662EA2"/>
    <w:rsid w:val="00663370"/>
    <w:rsid w:val="00665F88"/>
    <w:rsid w:val="006664E4"/>
    <w:rsid w:val="00666764"/>
    <w:rsid w:val="0066761F"/>
    <w:rsid w:val="0067047C"/>
    <w:rsid w:val="00672196"/>
    <w:rsid w:val="006739D6"/>
    <w:rsid w:val="00673DFE"/>
    <w:rsid w:val="006777EE"/>
    <w:rsid w:val="006802BA"/>
    <w:rsid w:val="00680511"/>
    <w:rsid w:val="006812F4"/>
    <w:rsid w:val="00681D05"/>
    <w:rsid w:val="00681EBC"/>
    <w:rsid w:val="0068300F"/>
    <w:rsid w:val="00683510"/>
    <w:rsid w:val="00683D42"/>
    <w:rsid w:val="00684E06"/>
    <w:rsid w:val="00686E0B"/>
    <w:rsid w:val="006939DB"/>
    <w:rsid w:val="00694AAD"/>
    <w:rsid w:val="00696EDB"/>
    <w:rsid w:val="00697A60"/>
    <w:rsid w:val="00697B22"/>
    <w:rsid w:val="006A1B3E"/>
    <w:rsid w:val="006A4163"/>
    <w:rsid w:val="006A5062"/>
    <w:rsid w:val="006A5458"/>
    <w:rsid w:val="006A659C"/>
    <w:rsid w:val="006A7E51"/>
    <w:rsid w:val="006B0536"/>
    <w:rsid w:val="006B0A4D"/>
    <w:rsid w:val="006B199C"/>
    <w:rsid w:val="006B70DB"/>
    <w:rsid w:val="006B7744"/>
    <w:rsid w:val="006C0C92"/>
    <w:rsid w:val="006C0CF1"/>
    <w:rsid w:val="006C39EE"/>
    <w:rsid w:val="006C5E43"/>
    <w:rsid w:val="006C6415"/>
    <w:rsid w:val="006C7A66"/>
    <w:rsid w:val="006D0420"/>
    <w:rsid w:val="006E11F4"/>
    <w:rsid w:val="006E2E63"/>
    <w:rsid w:val="006E3323"/>
    <w:rsid w:val="006E7117"/>
    <w:rsid w:val="006E7CF4"/>
    <w:rsid w:val="006F0DD1"/>
    <w:rsid w:val="006F0F14"/>
    <w:rsid w:val="006F132F"/>
    <w:rsid w:val="006F29E5"/>
    <w:rsid w:val="006F4104"/>
    <w:rsid w:val="006F6AE2"/>
    <w:rsid w:val="00701C77"/>
    <w:rsid w:val="007039AF"/>
    <w:rsid w:val="00704B17"/>
    <w:rsid w:val="00712EE5"/>
    <w:rsid w:val="00713943"/>
    <w:rsid w:val="007237DF"/>
    <w:rsid w:val="00724A3C"/>
    <w:rsid w:val="00725AC9"/>
    <w:rsid w:val="00737BC6"/>
    <w:rsid w:val="00740E07"/>
    <w:rsid w:val="00742C02"/>
    <w:rsid w:val="007439D7"/>
    <w:rsid w:val="00745226"/>
    <w:rsid w:val="0075065E"/>
    <w:rsid w:val="00752F12"/>
    <w:rsid w:val="00755099"/>
    <w:rsid w:val="007579F7"/>
    <w:rsid w:val="00762AB6"/>
    <w:rsid w:val="00763E33"/>
    <w:rsid w:val="00764EBC"/>
    <w:rsid w:val="00766F34"/>
    <w:rsid w:val="00770FED"/>
    <w:rsid w:val="00783308"/>
    <w:rsid w:val="007900A9"/>
    <w:rsid w:val="00791275"/>
    <w:rsid w:val="0079163E"/>
    <w:rsid w:val="00793A14"/>
    <w:rsid w:val="0079446A"/>
    <w:rsid w:val="00795946"/>
    <w:rsid w:val="007A4183"/>
    <w:rsid w:val="007A4659"/>
    <w:rsid w:val="007A7046"/>
    <w:rsid w:val="007B10CA"/>
    <w:rsid w:val="007B4EA0"/>
    <w:rsid w:val="007B4FB1"/>
    <w:rsid w:val="007B7F13"/>
    <w:rsid w:val="007C0B12"/>
    <w:rsid w:val="007C0E3D"/>
    <w:rsid w:val="007C16F4"/>
    <w:rsid w:val="007C2836"/>
    <w:rsid w:val="007C36CD"/>
    <w:rsid w:val="007C53A6"/>
    <w:rsid w:val="007C6C60"/>
    <w:rsid w:val="007C6FD2"/>
    <w:rsid w:val="007C7A6D"/>
    <w:rsid w:val="007D6D2E"/>
    <w:rsid w:val="007D78D7"/>
    <w:rsid w:val="007E1425"/>
    <w:rsid w:val="007E1B07"/>
    <w:rsid w:val="007E203E"/>
    <w:rsid w:val="007E24AA"/>
    <w:rsid w:val="007E2EFA"/>
    <w:rsid w:val="007E5A8F"/>
    <w:rsid w:val="007E5C7C"/>
    <w:rsid w:val="007F2545"/>
    <w:rsid w:val="007F6B1B"/>
    <w:rsid w:val="0080055A"/>
    <w:rsid w:val="008007F2"/>
    <w:rsid w:val="00803953"/>
    <w:rsid w:val="00805BC0"/>
    <w:rsid w:val="00807A26"/>
    <w:rsid w:val="00811DD2"/>
    <w:rsid w:val="00813EBA"/>
    <w:rsid w:val="0081610F"/>
    <w:rsid w:val="00816A72"/>
    <w:rsid w:val="00817FD0"/>
    <w:rsid w:val="00821079"/>
    <w:rsid w:val="00825193"/>
    <w:rsid w:val="008273B9"/>
    <w:rsid w:val="00834053"/>
    <w:rsid w:val="00834CEA"/>
    <w:rsid w:val="0084053C"/>
    <w:rsid w:val="008407BB"/>
    <w:rsid w:val="008420B0"/>
    <w:rsid w:val="008431CB"/>
    <w:rsid w:val="00843BB5"/>
    <w:rsid w:val="008440B7"/>
    <w:rsid w:val="008458C4"/>
    <w:rsid w:val="0085398C"/>
    <w:rsid w:val="008549A4"/>
    <w:rsid w:val="00855109"/>
    <w:rsid w:val="00855474"/>
    <w:rsid w:val="00856823"/>
    <w:rsid w:val="00857458"/>
    <w:rsid w:val="00860444"/>
    <w:rsid w:val="0086210F"/>
    <w:rsid w:val="00865545"/>
    <w:rsid w:val="00866D1F"/>
    <w:rsid w:val="008764DF"/>
    <w:rsid w:val="0088001E"/>
    <w:rsid w:val="00882F7C"/>
    <w:rsid w:val="008835EA"/>
    <w:rsid w:val="0088682E"/>
    <w:rsid w:val="00886C72"/>
    <w:rsid w:val="00893DC9"/>
    <w:rsid w:val="00893DFC"/>
    <w:rsid w:val="00897194"/>
    <w:rsid w:val="008A2535"/>
    <w:rsid w:val="008A411E"/>
    <w:rsid w:val="008B0F02"/>
    <w:rsid w:val="008B196A"/>
    <w:rsid w:val="008B23B4"/>
    <w:rsid w:val="008B23BB"/>
    <w:rsid w:val="008B3697"/>
    <w:rsid w:val="008B49CC"/>
    <w:rsid w:val="008B5838"/>
    <w:rsid w:val="008B7ACD"/>
    <w:rsid w:val="008C027B"/>
    <w:rsid w:val="008C0C22"/>
    <w:rsid w:val="008D3CB4"/>
    <w:rsid w:val="008E0FBA"/>
    <w:rsid w:val="008E46F2"/>
    <w:rsid w:val="008E4C2E"/>
    <w:rsid w:val="008F20E8"/>
    <w:rsid w:val="008F43AA"/>
    <w:rsid w:val="008F5DC6"/>
    <w:rsid w:val="00900B0E"/>
    <w:rsid w:val="009013F7"/>
    <w:rsid w:val="00903B01"/>
    <w:rsid w:val="00905D6E"/>
    <w:rsid w:val="00906A83"/>
    <w:rsid w:val="0091322B"/>
    <w:rsid w:val="00914BD3"/>
    <w:rsid w:val="0091704B"/>
    <w:rsid w:val="00924256"/>
    <w:rsid w:val="009248F4"/>
    <w:rsid w:val="00930710"/>
    <w:rsid w:val="009318D7"/>
    <w:rsid w:val="00933739"/>
    <w:rsid w:val="00935909"/>
    <w:rsid w:val="00936902"/>
    <w:rsid w:val="009373A2"/>
    <w:rsid w:val="0093791E"/>
    <w:rsid w:val="00942722"/>
    <w:rsid w:val="0094303E"/>
    <w:rsid w:val="00944487"/>
    <w:rsid w:val="00945D4F"/>
    <w:rsid w:val="009475B7"/>
    <w:rsid w:val="00950237"/>
    <w:rsid w:val="00950BAE"/>
    <w:rsid w:val="009517CC"/>
    <w:rsid w:val="0095445D"/>
    <w:rsid w:val="009547C5"/>
    <w:rsid w:val="00956CBD"/>
    <w:rsid w:val="00957760"/>
    <w:rsid w:val="0096331E"/>
    <w:rsid w:val="00963DAF"/>
    <w:rsid w:val="009678A1"/>
    <w:rsid w:val="00975F05"/>
    <w:rsid w:val="00976D86"/>
    <w:rsid w:val="00985A66"/>
    <w:rsid w:val="009873B7"/>
    <w:rsid w:val="00987503"/>
    <w:rsid w:val="00991A6A"/>
    <w:rsid w:val="00992DD8"/>
    <w:rsid w:val="00994418"/>
    <w:rsid w:val="009962B7"/>
    <w:rsid w:val="00996989"/>
    <w:rsid w:val="009A0E65"/>
    <w:rsid w:val="009A2E91"/>
    <w:rsid w:val="009A3185"/>
    <w:rsid w:val="009A3676"/>
    <w:rsid w:val="009A4DB0"/>
    <w:rsid w:val="009A78F4"/>
    <w:rsid w:val="009B2274"/>
    <w:rsid w:val="009B22F5"/>
    <w:rsid w:val="009B2B05"/>
    <w:rsid w:val="009B3835"/>
    <w:rsid w:val="009B58D3"/>
    <w:rsid w:val="009C15A6"/>
    <w:rsid w:val="009C59AB"/>
    <w:rsid w:val="009C6A27"/>
    <w:rsid w:val="009C733C"/>
    <w:rsid w:val="009C7502"/>
    <w:rsid w:val="009D1796"/>
    <w:rsid w:val="009D23C7"/>
    <w:rsid w:val="009D24EB"/>
    <w:rsid w:val="009D39FD"/>
    <w:rsid w:val="009D7EDC"/>
    <w:rsid w:val="009E25FD"/>
    <w:rsid w:val="009E37E6"/>
    <w:rsid w:val="009E5BB9"/>
    <w:rsid w:val="009E5D3C"/>
    <w:rsid w:val="009E6923"/>
    <w:rsid w:val="009E6C53"/>
    <w:rsid w:val="009E7BD8"/>
    <w:rsid w:val="009F1090"/>
    <w:rsid w:val="009F35EC"/>
    <w:rsid w:val="009F4B8A"/>
    <w:rsid w:val="009F5511"/>
    <w:rsid w:val="009F60A1"/>
    <w:rsid w:val="009F6D1A"/>
    <w:rsid w:val="009F707F"/>
    <w:rsid w:val="00A01EE2"/>
    <w:rsid w:val="00A02FFE"/>
    <w:rsid w:val="00A03429"/>
    <w:rsid w:val="00A039D5"/>
    <w:rsid w:val="00A046BD"/>
    <w:rsid w:val="00A10554"/>
    <w:rsid w:val="00A133BD"/>
    <w:rsid w:val="00A13EFF"/>
    <w:rsid w:val="00A15C9E"/>
    <w:rsid w:val="00A20613"/>
    <w:rsid w:val="00A25F31"/>
    <w:rsid w:val="00A34607"/>
    <w:rsid w:val="00A40AB4"/>
    <w:rsid w:val="00A46226"/>
    <w:rsid w:val="00A46ABC"/>
    <w:rsid w:val="00A5163F"/>
    <w:rsid w:val="00A522B9"/>
    <w:rsid w:val="00A5256A"/>
    <w:rsid w:val="00A53F1B"/>
    <w:rsid w:val="00A54071"/>
    <w:rsid w:val="00A574AE"/>
    <w:rsid w:val="00A64ADB"/>
    <w:rsid w:val="00A65F1B"/>
    <w:rsid w:val="00A70A31"/>
    <w:rsid w:val="00A70CB6"/>
    <w:rsid w:val="00A72DF9"/>
    <w:rsid w:val="00A73787"/>
    <w:rsid w:val="00A73C61"/>
    <w:rsid w:val="00A745BD"/>
    <w:rsid w:val="00A74B6A"/>
    <w:rsid w:val="00A77F4C"/>
    <w:rsid w:val="00A86C96"/>
    <w:rsid w:val="00A86D55"/>
    <w:rsid w:val="00A86FCA"/>
    <w:rsid w:val="00A875B5"/>
    <w:rsid w:val="00A90CE2"/>
    <w:rsid w:val="00A93F09"/>
    <w:rsid w:val="00A95EA3"/>
    <w:rsid w:val="00A97623"/>
    <w:rsid w:val="00AA64F2"/>
    <w:rsid w:val="00AB26F0"/>
    <w:rsid w:val="00AB2A4B"/>
    <w:rsid w:val="00AB2A5E"/>
    <w:rsid w:val="00AB42D2"/>
    <w:rsid w:val="00AB6456"/>
    <w:rsid w:val="00AC25F2"/>
    <w:rsid w:val="00AC36E0"/>
    <w:rsid w:val="00AC3D24"/>
    <w:rsid w:val="00AC4F43"/>
    <w:rsid w:val="00AC5223"/>
    <w:rsid w:val="00AC7461"/>
    <w:rsid w:val="00AD20FF"/>
    <w:rsid w:val="00AD2923"/>
    <w:rsid w:val="00AD4FFF"/>
    <w:rsid w:val="00AD5BDC"/>
    <w:rsid w:val="00AD67A7"/>
    <w:rsid w:val="00AD6E21"/>
    <w:rsid w:val="00AD7EE0"/>
    <w:rsid w:val="00AE2F85"/>
    <w:rsid w:val="00AE3797"/>
    <w:rsid w:val="00AE4E9C"/>
    <w:rsid w:val="00AE53BB"/>
    <w:rsid w:val="00AE5E13"/>
    <w:rsid w:val="00AE6092"/>
    <w:rsid w:val="00AE77D8"/>
    <w:rsid w:val="00AF4ED7"/>
    <w:rsid w:val="00AF6243"/>
    <w:rsid w:val="00AF6F1B"/>
    <w:rsid w:val="00AF76C6"/>
    <w:rsid w:val="00B0167C"/>
    <w:rsid w:val="00B060FC"/>
    <w:rsid w:val="00B06F3A"/>
    <w:rsid w:val="00B10861"/>
    <w:rsid w:val="00B10F80"/>
    <w:rsid w:val="00B1191D"/>
    <w:rsid w:val="00B11AFE"/>
    <w:rsid w:val="00B13DC9"/>
    <w:rsid w:val="00B16103"/>
    <w:rsid w:val="00B2059D"/>
    <w:rsid w:val="00B206AE"/>
    <w:rsid w:val="00B23DBA"/>
    <w:rsid w:val="00B27037"/>
    <w:rsid w:val="00B27F04"/>
    <w:rsid w:val="00B33754"/>
    <w:rsid w:val="00B34FFB"/>
    <w:rsid w:val="00B369C9"/>
    <w:rsid w:val="00B44729"/>
    <w:rsid w:val="00B506E4"/>
    <w:rsid w:val="00B54EF5"/>
    <w:rsid w:val="00B56573"/>
    <w:rsid w:val="00B565B4"/>
    <w:rsid w:val="00B578F4"/>
    <w:rsid w:val="00B64D39"/>
    <w:rsid w:val="00B71AA6"/>
    <w:rsid w:val="00B73006"/>
    <w:rsid w:val="00B7413E"/>
    <w:rsid w:val="00B77D0F"/>
    <w:rsid w:val="00B82640"/>
    <w:rsid w:val="00B8641E"/>
    <w:rsid w:val="00B86526"/>
    <w:rsid w:val="00B86544"/>
    <w:rsid w:val="00B87C9B"/>
    <w:rsid w:val="00B87E82"/>
    <w:rsid w:val="00B93336"/>
    <w:rsid w:val="00B93FFB"/>
    <w:rsid w:val="00B9685F"/>
    <w:rsid w:val="00BA4004"/>
    <w:rsid w:val="00BB4569"/>
    <w:rsid w:val="00BB5FD0"/>
    <w:rsid w:val="00BC1281"/>
    <w:rsid w:val="00BC7C64"/>
    <w:rsid w:val="00BD35BC"/>
    <w:rsid w:val="00BD431F"/>
    <w:rsid w:val="00BD4BF4"/>
    <w:rsid w:val="00BD788E"/>
    <w:rsid w:val="00BE246D"/>
    <w:rsid w:val="00BE444E"/>
    <w:rsid w:val="00BE7C07"/>
    <w:rsid w:val="00BF2FF4"/>
    <w:rsid w:val="00BF39B5"/>
    <w:rsid w:val="00BF6383"/>
    <w:rsid w:val="00C002AA"/>
    <w:rsid w:val="00C05768"/>
    <w:rsid w:val="00C05C32"/>
    <w:rsid w:val="00C12826"/>
    <w:rsid w:val="00C14738"/>
    <w:rsid w:val="00C1532F"/>
    <w:rsid w:val="00C15ED9"/>
    <w:rsid w:val="00C23401"/>
    <w:rsid w:val="00C241AA"/>
    <w:rsid w:val="00C2438A"/>
    <w:rsid w:val="00C24FB7"/>
    <w:rsid w:val="00C25904"/>
    <w:rsid w:val="00C2799D"/>
    <w:rsid w:val="00C3073D"/>
    <w:rsid w:val="00C32DFD"/>
    <w:rsid w:val="00C37A3D"/>
    <w:rsid w:val="00C40FC2"/>
    <w:rsid w:val="00C46E9D"/>
    <w:rsid w:val="00C47BBB"/>
    <w:rsid w:val="00C509B6"/>
    <w:rsid w:val="00C50FB0"/>
    <w:rsid w:val="00C510E2"/>
    <w:rsid w:val="00C51B80"/>
    <w:rsid w:val="00C52DDE"/>
    <w:rsid w:val="00C53D1F"/>
    <w:rsid w:val="00C543EA"/>
    <w:rsid w:val="00C54D4E"/>
    <w:rsid w:val="00C55A41"/>
    <w:rsid w:val="00C55AD8"/>
    <w:rsid w:val="00C57676"/>
    <w:rsid w:val="00C5783C"/>
    <w:rsid w:val="00C6773D"/>
    <w:rsid w:val="00C719EE"/>
    <w:rsid w:val="00C722C9"/>
    <w:rsid w:val="00C73347"/>
    <w:rsid w:val="00C75155"/>
    <w:rsid w:val="00C76EB4"/>
    <w:rsid w:val="00C90299"/>
    <w:rsid w:val="00C913FE"/>
    <w:rsid w:val="00C92235"/>
    <w:rsid w:val="00C95A80"/>
    <w:rsid w:val="00CA053F"/>
    <w:rsid w:val="00CA2508"/>
    <w:rsid w:val="00CA4483"/>
    <w:rsid w:val="00CA49A8"/>
    <w:rsid w:val="00CB14FB"/>
    <w:rsid w:val="00CB2285"/>
    <w:rsid w:val="00CC1FF3"/>
    <w:rsid w:val="00CC31CB"/>
    <w:rsid w:val="00CC4425"/>
    <w:rsid w:val="00CC632B"/>
    <w:rsid w:val="00CC7306"/>
    <w:rsid w:val="00CC7669"/>
    <w:rsid w:val="00CD03C9"/>
    <w:rsid w:val="00CD2733"/>
    <w:rsid w:val="00CD2DDB"/>
    <w:rsid w:val="00CD45B1"/>
    <w:rsid w:val="00CD7BBA"/>
    <w:rsid w:val="00CE17FB"/>
    <w:rsid w:val="00CE3312"/>
    <w:rsid w:val="00CF2482"/>
    <w:rsid w:val="00CF3682"/>
    <w:rsid w:val="00CF45D0"/>
    <w:rsid w:val="00CF5D90"/>
    <w:rsid w:val="00D00F16"/>
    <w:rsid w:val="00D01636"/>
    <w:rsid w:val="00D039A9"/>
    <w:rsid w:val="00D07920"/>
    <w:rsid w:val="00D105D5"/>
    <w:rsid w:val="00D11B1A"/>
    <w:rsid w:val="00D14F35"/>
    <w:rsid w:val="00D16C77"/>
    <w:rsid w:val="00D20582"/>
    <w:rsid w:val="00D2089B"/>
    <w:rsid w:val="00D20F0B"/>
    <w:rsid w:val="00D245B7"/>
    <w:rsid w:val="00D27FD1"/>
    <w:rsid w:val="00D342F8"/>
    <w:rsid w:val="00D36E7C"/>
    <w:rsid w:val="00D36FFB"/>
    <w:rsid w:val="00D378F9"/>
    <w:rsid w:val="00D44540"/>
    <w:rsid w:val="00D447C0"/>
    <w:rsid w:val="00D45A14"/>
    <w:rsid w:val="00D47707"/>
    <w:rsid w:val="00D504F0"/>
    <w:rsid w:val="00D51923"/>
    <w:rsid w:val="00D5264F"/>
    <w:rsid w:val="00D53058"/>
    <w:rsid w:val="00D532C7"/>
    <w:rsid w:val="00D56148"/>
    <w:rsid w:val="00D60324"/>
    <w:rsid w:val="00D603D4"/>
    <w:rsid w:val="00D60FDA"/>
    <w:rsid w:val="00D61039"/>
    <w:rsid w:val="00D622A0"/>
    <w:rsid w:val="00D7057A"/>
    <w:rsid w:val="00D73177"/>
    <w:rsid w:val="00D759F8"/>
    <w:rsid w:val="00D77F06"/>
    <w:rsid w:val="00D80053"/>
    <w:rsid w:val="00D82CCD"/>
    <w:rsid w:val="00D8352C"/>
    <w:rsid w:val="00D85172"/>
    <w:rsid w:val="00D8579C"/>
    <w:rsid w:val="00D86E62"/>
    <w:rsid w:val="00D914BF"/>
    <w:rsid w:val="00D9681B"/>
    <w:rsid w:val="00D97BE2"/>
    <w:rsid w:val="00DA0E90"/>
    <w:rsid w:val="00DA21CD"/>
    <w:rsid w:val="00DA428E"/>
    <w:rsid w:val="00DA5AEC"/>
    <w:rsid w:val="00DA77D7"/>
    <w:rsid w:val="00DB247B"/>
    <w:rsid w:val="00DB6578"/>
    <w:rsid w:val="00DB7246"/>
    <w:rsid w:val="00DC04F3"/>
    <w:rsid w:val="00DC0D99"/>
    <w:rsid w:val="00DC0DC1"/>
    <w:rsid w:val="00DC0F0F"/>
    <w:rsid w:val="00DC2D44"/>
    <w:rsid w:val="00DC4567"/>
    <w:rsid w:val="00DC4900"/>
    <w:rsid w:val="00DC55BC"/>
    <w:rsid w:val="00DD1452"/>
    <w:rsid w:val="00DD7737"/>
    <w:rsid w:val="00DE2E29"/>
    <w:rsid w:val="00DE462D"/>
    <w:rsid w:val="00DE551E"/>
    <w:rsid w:val="00DE762B"/>
    <w:rsid w:val="00DF08C0"/>
    <w:rsid w:val="00DF0A06"/>
    <w:rsid w:val="00DF28D2"/>
    <w:rsid w:val="00DF7524"/>
    <w:rsid w:val="00E0095A"/>
    <w:rsid w:val="00E00D0D"/>
    <w:rsid w:val="00E029DA"/>
    <w:rsid w:val="00E05504"/>
    <w:rsid w:val="00E10B2C"/>
    <w:rsid w:val="00E14C9B"/>
    <w:rsid w:val="00E1520F"/>
    <w:rsid w:val="00E15C2C"/>
    <w:rsid w:val="00E1671B"/>
    <w:rsid w:val="00E26677"/>
    <w:rsid w:val="00E27C3A"/>
    <w:rsid w:val="00E309A4"/>
    <w:rsid w:val="00E36E25"/>
    <w:rsid w:val="00E41966"/>
    <w:rsid w:val="00E41C77"/>
    <w:rsid w:val="00E42180"/>
    <w:rsid w:val="00E4357D"/>
    <w:rsid w:val="00E44046"/>
    <w:rsid w:val="00E464A6"/>
    <w:rsid w:val="00E51FCE"/>
    <w:rsid w:val="00E53576"/>
    <w:rsid w:val="00E55DC0"/>
    <w:rsid w:val="00E57764"/>
    <w:rsid w:val="00E60C41"/>
    <w:rsid w:val="00E62453"/>
    <w:rsid w:val="00E62FB8"/>
    <w:rsid w:val="00E66243"/>
    <w:rsid w:val="00E66348"/>
    <w:rsid w:val="00E66993"/>
    <w:rsid w:val="00E70EA8"/>
    <w:rsid w:val="00E71ADB"/>
    <w:rsid w:val="00E81BBB"/>
    <w:rsid w:val="00E824E6"/>
    <w:rsid w:val="00E83802"/>
    <w:rsid w:val="00E8482C"/>
    <w:rsid w:val="00E8605E"/>
    <w:rsid w:val="00E93704"/>
    <w:rsid w:val="00E94E58"/>
    <w:rsid w:val="00EA129C"/>
    <w:rsid w:val="00EA25CF"/>
    <w:rsid w:val="00EA42B6"/>
    <w:rsid w:val="00EA585E"/>
    <w:rsid w:val="00EA7B0A"/>
    <w:rsid w:val="00EB0D6F"/>
    <w:rsid w:val="00EB1DD2"/>
    <w:rsid w:val="00EB6EE5"/>
    <w:rsid w:val="00EC39B2"/>
    <w:rsid w:val="00EC4759"/>
    <w:rsid w:val="00EC5286"/>
    <w:rsid w:val="00EC639F"/>
    <w:rsid w:val="00ED0801"/>
    <w:rsid w:val="00ED1E46"/>
    <w:rsid w:val="00ED321C"/>
    <w:rsid w:val="00ED3C81"/>
    <w:rsid w:val="00ED4433"/>
    <w:rsid w:val="00ED6526"/>
    <w:rsid w:val="00ED67CA"/>
    <w:rsid w:val="00ED6A4E"/>
    <w:rsid w:val="00ED7AC7"/>
    <w:rsid w:val="00EE2D66"/>
    <w:rsid w:val="00EE3A0C"/>
    <w:rsid w:val="00EE51CE"/>
    <w:rsid w:val="00EE6174"/>
    <w:rsid w:val="00EE6D80"/>
    <w:rsid w:val="00EE6F66"/>
    <w:rsid w:val="00EF08AB"/>
    <w:rsid w:val="00EF1F7C"/>
    <w:rsid w:val="00EF2260"/>
    <w:rsid w:val="00EF3380"/>
    <w:rsid w:val="00EF45E5"/>
    <w:rsid w:val="00EF6410"/>
    <w:rsid w:val="00EF69A7"/>
    <w:rsid w:val="00EF6DE4"/>
    <w:rsid w:val="00F02D47"/>
    <w:rsid w:val="00F03A8D"/>
    <w:rsid w:val="00F05414"/>
    <w:rsid w:val="00F078EA"/>
    <w:rsid w:val="00F12B18"/>
    <w:rsid w:val="00F13B1C"/>
    <w:rsid w:val="00F1541A"/>
    <w:rsid w:val="00F1632A"/>
    <w:rsid w:val="00F16C61"/>
    <w:rsid w:val="00F2088E"/>
    <w:rsid w:val="00F2194F"/>
    <w:rsid w:val="00F2479A"/>
    <w:rsid w:val="00F258AB"/>
    <w:rsid w:val="00F35424"/>
    <w:rsid w:val="00F37091"/>
    <w:rsid w:val="00F37780"/>
    <w:rsid w:val="00F41C9C"/>
    <w:rsid w:val="00F43721"/>
    <w:rsid w:val="00F43FCF"/>
    <w:rsid w:val="00F443A7"/>
    <w:rsid w:val="00F44CCB"/>
    <w:rsid w:val="00F45C53"/>
    <w:rsid w:val="00F5067F"/>
    <w:rsid w:val="00F50AD6"/>
    <w:rsid w:val="00F54AD3"/>
    <w:rsid w:val="00F5737D"/>
    <w:rsid w:val="00F63D23"/>
    <w:rsid w:val="00F669D6"/>
    <w:rsid w:val="00F76A64"/>
    <w:rsid w:val="00F80D05"/>
    <w:rsid w:val="00F84841"/>
    <w:rsid w:val="00F906E4"/>
    <w:rsid w:val="00F9246E"/>
    <w:rsid w:val="00F952AF"/>
    <w:rsid w:val="00F95B42"/>
    <w:rsid w:val="00F96163"/>
    <w:rsid w:val="00F9664A"/>
    <w:rsid w:val="00FA28AC"/>
    <w:rsid w:val="00FA419E"/>
    <w:rsid w:val="00FA4839"/>
    <w:rsid w:val="00FA7D97"/>
    <w:rsid w:val="00FB11D1"/>
    <w:rsid w:val="00FB1B79"/>
    <w:rsid w:val="00FB1C22"/>
    <w:rsid w:val="00FB23BE"/>
    <w:rsid w:val="00FB391B"/>
    <w:rsid w:val="00FB6940"/>
    <w:rsid w:val="00FB76D9"/>
    <w:rsid w:val="00FC0790"/>
    <w:rsid w:val="00FC1402"/>
    <w:rsid w:val="00FC27E4"/>
    <w:rsid w:val="00FC2D39"/>
    <w:rsid w:val="00FC7F29"/>
    <w:rsid w:val="00FD06EB"/>
    <w:rsid w:val="00FD36CE"/>
    <w:rsid w:val="00FD4594"/>
    <w:rsid w:val="00FD52CE"/>
    <w:rsid w:val="00FD65DF"/>
    <w:rsid w:val="00FE4187"/>
    <w:rsid w:val="00FE418D"/>
    <w:rsid w:val="00FE4447"/>
    <w:rsid w:val="00FE4B22"/>
    <w:rsid w:val="00FE52FF"/>
    <w:rsid w:val="00FE586B"/>
    <w:rsid w:val="00FF3FF4"/>
    <w:rsid w:val="00FF4590"/>
    <w:rsid w:val="00FF625A"/>
    <w:rsid w:val="00FF62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B4BDB"/>
    <w:pPr>
      <w:widowControl w:val="0"/>
      <w:jc w:val="both"/>
    </w:pPr>
    <w:rPr>
      <w:szCs w:val="21"/>
    </w:rPr>
  </w:style>
  <w:style w:type="paragraph" w:styleId="Heading1">
    <w:name w:val="heading 1"/>
    <w:basedOn w:val="Normal"/>
    <w:next w:val="Normal"/>
    <w:link w:val="Heading1Char"/>
    <w:uiPriority w:val="99"/>
    <w:qFormat/>
    <w:rsid w:val="00E60C41"/>
    <w:pPr>
      <w:keepNext/>
      <w:keepLines/>
      <w:numPr>
        <w:numId w:val="1"/>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60C41"/>
    <w:pPr>
      <w:keepNext/>
      <w:keepLines/>
      <w:numPr>
        <w:ilvl w:val="1"/>
        <w:numId w:val="1"/>
      </w:numPr>
      <w:spacing w:before="260" w:after="260" w:line="416" w:lineRule="auto"/>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E60C41"/>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E60C41"/>
    <w:pPr>
      <w:keepNext/>
      <w:keepLines/>
      <w:numPr>
        <w:ilvl w:val="3"/>
        <w:numId w:val="1"/>
      </w:numPr>
      <w:spacing w:before="280" w:after="290" w:line="376" w:lineRule="auto"/>
      <w:outlineLvl w:val="3"/>
    </w:pPr>
    <w:rPr>
      <w:rFonts w:ascii="Arial" w:eastAsia="黑体" w:hAnsi="Arial" w:cs="Arial"/>
      <w:b/>
      <w:bCs/>
      <w:sz w:val="28"/>
      <w:szCs w:val="28"/>
    </w:rPr>
  </w:style>
  <w:style w:type="paragraph" w:styleId="Heading5">
    <w:name w:val="heading 5"/>
    <w:basedOn w:val="Normal"/>
    <w:next w:val="Normal"/>
    <w:link w:val="Heading5Char"/>
    <w:uiPriority w:val="99"/>
    <w:qFormat/>
    <w:rsid w:val="00E60C41"/>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E60C41"/>
    <w:pPr>
      <w:keepNext/>
      <w:keepLines/>
      <w:numPr>
        <w:ilvl w:val="5"/>
        <w:numId w:val="1"/>
      </w:numPr>
      <w:spacing w:before="240" w:after="64" w:line="320" w:lineRule="auto"/>
      <w:outlineLvl w:val="5"/>
    </w:pPr>
    <w:rPr>
      <w:rFonts w:ascii="Arial" w:eastAsia="黑体" w:hAnsi="Arial" w:cs="Arial"/>
      <w:b/>
      <w:bCs/>
      <w:sz w:val="24"/>
      <w:szCs w:val="24"/>
    </w:rPr>
  </w:style>
  <w:style w:type="paragraph" w:styleId="Heading7">
    <w:name w:val="heading 7"/>
    <w:basedOn w:val="Normal"/>
    <w:next w:val="Normal"/>
    <w:link w:val="Heading7Char"/>
    <w:uiPriority w:val="99"/>
    <w:qFormat/>
    <w:rsid w:val="00E60C41"/>
    <w:pPr>
      <w:keepNext/>
      <w:keepLines/>
      <w:numPr>
        <w:ilvl w:val="6"/>
        <w:numId w:val="1"/>
      </w:numPr>
      <w:spacing w:before="240" w:after="64" w:line="320" w:lineRule="auto"/>
      <w:outlineLvl w:val="6"/>
    </w:pPr>
    <w:rPr>
      <w:b/>
      <w:bCs/>
      <w:sz w:val="24"/>
      <w:szCs w:val="24"/>
    </w:rPr>
  </w:style>
  <w:style w:type="paragraph" w:styleId="Heading8">
    <w:name w:val="heading 8"/>
    <w:basedOn w:val="Normal"/>
    <w:next w:val="Normal"/>
    <w:link w:val="Heading8Char"/>
    <w:uiPriority w:val="99"/>
    <w:qFormat/>
    <w:rsid w:val="00E60C41"/>
    <w:pPr>
      <w:keepNext/>
      <w:keepLines/>
      <w:numPr>
        <w:ilvl w:val="7"/>
        <w:numId w:val="1"/>
      </w:numPr>
      <w:spacing w:before="240" w:after="64" w:line="320" w:lineRule="auto"/>
      <w:outlineLvl w:val="7"/>
    </w:pPr>
    <w:rPr>
      <w:rFonts w:ascii="Arial" w:eastAsia="黑体" w:hAnsi="Arial" w:cs="Arial"/>
      <w:sz w:val="24"/>
      <w:szCs w:val="24"/>
    </w:rPr>
  </w:style>
  <w:style w:type="paragraph" w:styleId="Heading9">
    <w:name w:val="heading 9"/>
    <w:basedOn w:val="Normal"/>
    <w:next w:val="Normal"/>
    <w:link w:val="Heading9Char"/>
    <w:uiPriority w:val="99"/>
    <w:qFormat/>
    <w:rsid w:val="00E60C41"/>
    <w:pPr>
      <w:keepNext/>
      <w:keepLines/>
      <w:numPr>
        <w:ilvl w:val="8"/>
        <w:numId w:val="1"/>
      </w:numPr>
      <w:spacing w:before="240" w:after="64" w:line="320" w:lineRule="auto"/>
      <w:outlineLvl w:val="8"/>
    </w:pPr>
    <w:rPr>
      <w:rFonts w:ascii="Arial" w:eastAsia="黑体"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BE2"/>
    <w:rPr>
      <w:rFonts w:eastAsia="宋体"/>
      <w:b/>
      <w:bCs/>
      <w:kern w:val="44"/>
      <w:sz w:val="44"/>
      <w:szCs w:val="44"/>
      <w:lang w:val="en-US" w:eastAsia="zh-CN"/>
    </w:rPr>
  </w:style>
  <w:style w:type="character" w:customStyle="1" w:styleId="Heading2Char">
    <w:name w:val="Heading 2 Char"/>
    <w:basedOn w:val="DefaultParagraphFont"/>
    <w:link w:val="Heading2"/>
    <w:uiPriority w:val="99"/>
    <w:semiHidden/>
    <w:locked/>
    <w:rsid w:val="00D97BE2"/>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F9246E"/>
    <w:rPr>
      <w:rFonts w:eastAsia="宋体"/>
      <w:b/>
      <w:bCs/>
      <w:kern w:val="2"/>
      <w:sz w:val="32"/>
      <w:szCs w:val="32"/>
      <w:lang w:val="en-US" w:eastAsia="zh-CN"/>
    </w:rPr>
  </w:style>
  <w:style w:type="character" w:customStyle="1" w:styleId="Heading4Char">
    <w:name w:val="Heading 4 Char"/>
    <w:basedOn w:val="DefaultParagraphFont"/>
    <w:link w:val="Heading4"/>
    <w:uiPriority w:val="99"/>
    <w:semiHidden/>
    <w:locked/>
    <w:rsid w:val="00D97BE2"/>
    <w:rPr>
      <w:rFonts w:ascii="Arial" w:eastAsia="黑体" w:hAnsi="Arial" w:cs="Arial"/>
      <w:b/>
      <w:bCs/>
      <w:kern w:val="2"/>
      <w:sz w:val="28"/>
      <w:szCs w:val="28"/>
      <w:lang w:val="en-US" w:eastAsia="zh-CN"/>
    </w:rPr>
  </w:style>
  <w:style w:type="character" w:customStyle="1" w:styleId="Heading5Char">
    <w:name w:val="Heading 5 Char"/>
    <w:basedOn w:val="DefaultParagraphFont"/>
    <w:link w:val="Heading5"/>
    <w:uiPriority w:val="99"/>
    <w:semiHidden/>
    <w:locked/>
    <w:rsid w:val="00D97BE2"/>
    <w:rPr>
      <w:rFonts w:eastAsia="宋体"/>
      <w:b/>
      <w:bCs/>
      <w:kern w:val="2"/>
      <w:sz w:val="28"/>
      <w:szCs w:val="28"/>
      <w:lang w:val="en-US" w:eastAsia="zh-CN"/>
    </w:rPr>
  </w:style>
  <w:style w:type="character" w:customStyle="1" w:styleId="Heading6Char">
    <w:name w:val="Heading 6 Char"/>
    <w:basedOn w:val="DefaultParagraphFont"/>
    <w:link w:val="Heading6"/>
    <w:uiPriority w:val="99"/>
    <w:semiHidden/>
    <w:locked/>
    <w:rsid w:val="00D97BE2"/>
    <w:rPr>
      <w:rFonts w:ascii="Arial" w:eastAsia="黑体" w:hAnsi="Arial" w:cs="Arial"/>
      <w:b/>
      <w:bCs/>
      <w:kern w:val="2"/>
      <w:sz w:val="24"/>
      <w:szCs w:val="24"/>
      <w:lang w:val="en-US" w:eastAsia="zh-CN"/>
    </w:rPr>
  </w:style>
  <w:style w:type="character" w:customStyle="1" w:styleId="Heading7Char">
    <w:name w:val="Heading 7 Char"/>
    <w:basedOn w:val="DefaultParagraphFont"/>
    <w:link w:val="Heading7"/>
    <w:uiPriority w:val="99"/>
    <w:semiHidden/>
    <w:locked/>
    <w:rsid w:val="00D97BE2"/>
    <w:rPr>
      <w:rFonts w:eastAsia="宋体"/>
      <w:b/>
      <w:bCs/>
      <w:kern w:val="2"/>
      <w:sz w:val="24"/>
      <w:szCs w:val="24"/>
      <w:lang w:val="en-US" w:eastAsia="zh-CN"/>
    </w:rPr>
  </w:style>
  <w:style w:type="character" w:customStyle="1" w:styleId="Heading8Char">
    <w:name w:val="Heading 8 Char"/>
    <w:basedOn w:val="DefaultParagraphFont"/>
    <w:link w:val="Heading8"/>
    <w:uiPriority w:val="99"/>
    <w:semiHidden/>
    <w:locked/>
    <w:rsid w:val="00D97BE2"/>
    <w:rPr>
      <w:rFonts w:ascii="Arial" w:eastAsia="黑体" w:hAnsi="Arial" w:cs="Arial"/>
      <w:kern w:val="2"/>
      <w:sz w:val="24"/>
      <w:szCs w:val="24"/>
      <w:lang w:val="en-US" w:eastAsia="zh-CN"/>
    </w:rPr>
  </w:style>
  <w:style w:type="character" w:customStyle="1" w:styleId="Heading9Char">
    <w:name w:val="Heading 9 Char"/>
    <w:basedOn w:val="DefaultParagraphFont"/>
    <w:link w:val="Heading9"/>
    <w:uiPriority w:val="99"/>
    <w:semiHidden/>
    <w:locked/>
    <w:rsid w:val="00D97BE2"/>
    <w:rPr>
      <w:rFonts w:ascii="Arial" w:eastAsia="黑体" w:hAnsi="Arial" w:cs="Arial"/>
      <w:kern w:val="2"/>
      <w:sz w:val="21"/>
      <w:szCs w:val="21"/>
      <w:lang w:val="en-US" w:eastAsia="zh-CN"/>
    </w:rPr>
  </w:style>
  <w:style w:type="paragraph" w:styleId="DocumentMap">
    <w:name w:val="Document Map"/>
    <w:basedOn w:val="Normal"/>
    <w:link w:val="DocumentMapChar"/>
    <w:uiPriority w:val="99"/>
    <w:semiHidden/>
    <w:rsid w:val="00147BC1"/>
    <w:pPr>
      <w:shd w:val="clear" w:color="auto" w:fill="000080"/>
    </w:pPr>
  </w:style>
  <w:style w:type="character" w:customStyle="1" w:styleId="DocumentMapChar">
    <w:name w:val="Document Map Char"/>
    <w:basedOn w:val="DefaultParagraphFont"/>
    <w:link w:val="DocumentMap"/>
    <w:uiPriority w:val="99"/>
    <w:semiHidden/>
    <w:locked/>
    <w:rsid w:val="00D97BE2"/>
    <w:rPr>
      <w:sz w:val="2"/>
      <w:szCs w:val="2"/>
    </w:rPr>
  </w:style>
  <w:style w:type="paragraph" w:customStyle="1" w:styleId="1">
    <w:name w:val="列出段落1"/>
    <w:basedOn w:val="Normal"/>
    <w:uiPriority w:val="99"/>
    <w:rsid w:val="00512C99"/>
    <w:pPr>
      <w:ind w:firstLineChars="200" w:firstLine="420"/>
    </w:pPr>
    <w:rPr>
      <w:rFonts w:ascii="Calibri" w:hAnsi="Calibri" w:cs="Calibri"/>
    </w:rPr>
  </w:style>
  <w:style w:type="paragraph" w:styleId="Footer">
    <w:name w:val="footer"/>
    <w:basedOn w:val="Normal"/>
    <w:link w:val="FooterChar"/>
    <w:uiPriority w:val="99"/>
    <w:rsid w:val="004736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821E5"/>
    <w:rPr>
      <w:kern w:val="2"/>
      <w:sz w:val="18"/>
      <w:szCs w:val="18"/>
    </w:rPr>
  </w:style>
  <w:style w:type="character" w:styleId="PageNumber">
    <w:name w:val="page number"/>
    <w:basedOn w:val="DefaultParagraphFont"/>
    <w:uiPriority w:val="99"/>
    <w:rsid w:val="004736D7"/>
  </w:style>
  <w:style w:type="paragraph" w:styleId="NormalWeb">
    <w:name w:val="Normal (Web)"/>
    <w:basedOn w:val="Normal"/>
    <w:uiPriority w:val="99"/>
    <w:rsid w:val="00F669D6"/>
    <w:pPr>
      <w:widowControl/>
      <w:spacing w:before="100" w:beforeAutospacing="1" w:after="100" w:afterAutospacing="1"/>
      <w:jc w:val="left"/>
    </w:pPr>
    <w:rPr>
      <w:rFonts w:ascii="宋体" w:hAnsi="宋体" w:cs="宋体"/>
      <w:kern w:val="0"/>
      <w:sz w:val="24"/>
      <w:szCs w:val="24"/>
    </w:rPr>
  </w:style>
  <w:style w:type="paragraph" w:customStyle="1" w:styleId="13092">
    <w:name w:val="样式 (西文) 宋体 13 磅 黑色 首行缩进:  0.92 厘米"/>
    <w:basedOn w:val="Normal"/>
    <w:uiPriority w:val="99"/>
    <w:rsid w:val="007900A9"/>
    <w:pPr>
      <w:spacing w:line="500" w:lineRule="exact"/>
      <w:ind w:firstLineChars="200" w:firstLine="200"/>
    </w:pPr>
    <w:rPr>
      <w:rFonts w:ascii="宋体" w:hAnsi="宋体" w:cs="宋体"/>
      <w:color w:val="FF0000"/>
      <w:kern w:val="0"/>
      <w:sz w:val="26"/>
      <w:szCs w:val="26"/>
    </w:rPr>
  </w:style>
  <w:style w:type="paragraph" w:styleId="TOCHeading">
    <w:name w:val="TOC Heading"/>
    <w:basedOn w:val="Heading1"/>
    <w:next w:val="Normal"/>
    <w:uiPriority w:val="99"/>
    <w:qFormat/>
    <w:rsid w:val="00FE52FF"/>
    <w:pPr>
      <w:widowControl/>
      <w:numPr>
        <w:numId w:val="0"/>
      </w:numPr>
      <w:spacing w:before="480" w:after="0" w:line="276" w:lineRule="auto"/>
      <w:jc w:val="left"/>
      <w:outlineLvl w:val="9"/>
    </w:pPr>
    <w:rPr>
      <w:rFonts w:ascii="Cambria" w:hAnsi="Cambria" w:cs="Cambria"/>
      <w:color w:val="365F91"/>
      <w:kern w:val="0"/>
      <w:sz w:val="28"/>
      <w:szCs w:val="28"/>
    </w:rPr>
  </w:style>
  <w:style w:type="paragraph" w:styleId="Header">
    <w:name w:val="header"/>
    <w:basedOn w:val="Normal"/>
    <w:link w:val="HeaderChar"/>
    <w:uiPriority w:val="99"/>
    <w:rsid w:val="008161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97BE2"/>
    <w:rPr>
      <w:sz w:val="18"/>
      <w:szCs w:val="18"/>
    </w:rPr>
  </w:style>
  <w:style w:type="paragraph" w:styleId="TOC1">
    <w:name w:val="toc 1"/>
    <w:basedOn w:val="Normal"/>
    <w:next w:val="Normal"/>
    <w:autoRedefine/>
    <w:uiPriority w:val="99"/>
    <w:semiHidden/>
    <w:rsid w:val="0081610F"/>
  </w:style>
  <w:style w:type="paragraph" w:styleId="TOC2">
    <w:name w:val="toc 2"/>
    <w:basedOn w:val="Normal"/>
    <w:next w:val="Normal"/>
    <w:autoRedefine/>
    <w:uiPriority w:val="99"/>
    <w:semiHidden/>
    <w:rsid w:val="0081610F"/>
    <w:pPr>
      <w:ind w:leftChars="200" w:left="420"/>
    </w:pPr>
  </w:style>
  <w:style w:type="character" w:styleId="Hyperlink">
    <w:name w:val="Hyperlink"/>
    <w:basedOn w:val="DefaultParagraphFont"/>
    <w:uiPriority w:val="99"/>
    <w:rsid w:val="0081610F"/>
    <w:rPr>
      <w:color w:val="0000FF"/>
      <w:u w:val="single"/>
    </w:rPr>
  </w:style>
  <w:style w:type="paragraph" w:styleId="BalloonText">
    <w:name w:val="Balloon Text"/>
    <w:basedOn w:val="Normal"/>
    <w:link w:val="BalloonTextChar"/>
    <w:uiPriority w:val="99"/>
    <w:semiHidden/>
    <w:rsid w:val="00B87E82"/>
    <w:rPr>
      <w:sz w:val="18"/>
      <w:szCs w:val="18"/>
    </w:rPr>
  </w:style>
  <w:style w:type="character" w:customStyle="1" w:styleId="BalloonTextChar">
    <w:name w:val="Balloon Text Char"/>
    <w:basedOn w:val="DefaultParagraphFont"/>
    <w:link w:val="BalloonText"/>
    <w:uiPriority w:val="99"/>
    <w:locked/>
    <w:rsid w:val="00B87E82"/>
    <w:rPr>
      <w:kern w:val="2"/>
      <w:sz w:val="18"/>
      <w:szCs w:val="18"/>
    </w:rPr>
  </w:style>
  <w:style w:type="character" w:styleId="Strong">
    <w:name w:val="Strong"/>
    <w:basedOn w:val="DefaultParagraphFont"/>
    <w:uiPriority w:val="99"/>
    <w:qFormat/>
    <w:rsid w:val="00B87E82"/>
    <w:rPr>
      <w:b/>
      <w:bCs/>
    </w:rPr>
  </w:style>
  <w:style w:type="paragraph" w:styleId="Date">
    <w:name w:val="Date"/>
    <w:basedOn w:val="Normal"/>
    <w:next w:val="Normal"/>
    <w:link w:val="DateChar"/>
    <w:uiPriority w:val="99"/>
    <w:rsid w:val="00DD1452"/>
    <w:pPr>
      <w:ind w:leftChars="2500" w:left="100"/>
    </w:pPr>
  </w:style>
  <w:style w:type="character" w:customStyle="1" w:styleId="DateChar">
    <w:name w:val="Date Char"/>
    <w:basedOn w:val="DefaultParagraphFont"/>
    <w:link w:val="Date"/>
    <w:uiPriority w:val="99"/>
    <w:locked/>
    <w:rsid w:val="00DD1452"/>
    <w:rPr>
      <w:kern w:val="2"/>
      <w:sz w:val="24"/>
      <w:szCs w:val="24"/>
    </w:rPr>
  </w:style>
</w:styles>
</file>

<file path=word/webSettings.xml><?xml version="1.0" encoding="utf-8"?>
<w:webSettings xmlns:r="http://schemas.openxmlformats.org/officeDocument/2006/relationships" xmlns:w="http://schemas.openxmlformats.org/wordprocessingml/2006/main">
  <w:divs>
    <w:div w:id="1764033567">
      <w:marLeft w:val="0"/>
      <w:marRight w:val="0"/>
      <w:marTop w:val="0"/>
      <w:marBottom w:val="0"/>
      <w:divBdr>
        <w:top w:val="none" w:sz="0" w:space="0" w:color="auto"/>
        <w:left w:val="none" w:sz="0" w:space="0" w:color="auto"/>
        <w:bottom w:val="none" w:sz="0" w:space="0" w:color="auto"/>
        <w:right w:val="none" w:sz="0" w:space="0" w:color="auto"/>
      </w:divBdr>
      <w:divsChild>
        <w:div w:id="1764033570">
          <w:marLeft w:val="0"/>
          <w:marRight w:val="0"/>
          <w:marTop w:val="0"/>
          <w:marBottom w:val="0"/>
          <w:divBdr>
            <w:top w:val="none" w:sz="0" w:space="0" w:color="auto"/>
            <w:left w:val="none" w:sz="0" w:space="0" w:color="auto"/>
            <w:bottom w:val="none" w:sz="0" w:space="0" w:color="auto"/>
            <w:right w:val="none" w:sz="0" w:space="0" w:color="auto"/>
          </w:divBdr>
        </w:div>
      </w:divsChild>
    </w:div>
    <w:div w:id="1764033568">
      <w:marLeft w:val="0"/>
      <w:marRight w:val="0"/>
      <w:marTop w:val="0"/>
      <w:marBottom w:val="0"/>
      <w:divBdr>
        <w:top w:val="none" w:sz="0" w:space="0" w:color="auto"/>
        <w:left w:val="none" w:sz="0" w:space="0" w:color="auto"/>
        <w:bottom w:val="none" w:sz="0" w:space="0" w:color="auto"/>
        <w:right w:val="none" w:sz="0" w:space="0" w:color="auto"/>
      </w:divBdr>
    </w:div>
    <w:div w:id="1764033569">
      <w:marLeft w:val="0"/>
      <w:marRight w:val="0"/>
      <w:marTop w:val="0"/>
      <w:marBottom w:val="0"/>
      <w:divBdr>
        <w:top w:val="none" w:sz="0" w:space="0" w:color="auto"/>
        <w:left w:val="none" w:sz="0" w:space="0" w:color="auto"/>
        <w:bottom w:val="none" w:sz="0" w:space="0" w:color="auto"/>
        <w:right w:val="none" w:sz="0" w:space="0" w:color="auto"/>
      </w:divBdr>
    </w:div>
    <w:div w:id="1764033572">
      <w:marLeft w:val="0"/>
      <w:marRight w:val="0"/>
      <w:marTop w:val="0"/>
      <w:marBottom w:val="0"/>
      <w:divBdr>
        <w:top w:val="none" w:sz="0" w:space="0" w:color="auto"/>
        <w:left w:val="none" w:sz="0" w:space="0" w:color="auto"/>
        <w:bottom w:val="none" w:sz="0" w:space="0" w:color="auto"/>
        <w:right w:val="none" w:sz="0" w:space="0" w:color="auto"/>
      </w:divBdr>
      <w:divsChild>
        <w:div w:id="1764033571">
          <w:marLeft w:val="0"/>
          <w:marRight w:val="0"/>
          <w:marTop w:val="0"/>
          <w:marBottom w:val="0"/>
          <w:divBdr>
            <w:top w:val="none" w:sz="0" w:space="0" w:color="auto"/>
            <w:left w:val="none" w:sz="0" w:space="0" w:color="auto"/>
            <w:bottom w:val="none" w:sz="0" w:space="0" w:color="auto"/>
            <w:right w:val="none" w:sz="0" w:space="0" w:color="auto"/>
          </w:divBdr>
        </w:div>
      </w:divsChild>
    </w:div>
    <w:div w:id="1764033573">
      <w:marLeft w:val="0"/>
      <w:marRight w:val="0"/>
      <w:marTop w:val="0"/>
      <w:marBottom w:val="0"/>
      <w:divBdr>
        <w:top w:val="none" w:sz="0" w:space="0" w:color="auto"/>
        <w:left w:val="none" w:sz="0" w:space="0" w:color="auto"/>
        <w:bottom w:val="none" w:sz="0" w:space="0" w:color="auto"/>
        <w:right w:val="none" w:sz="0" w:space="0" w:color="auto"/>
      </w:divBdr>
    </w:div>
    <w:div w:id="1764033574">
      <w:marLeft w:val="0"/>
      <w:marRight w:val="0"/>
      <w:marTop w:val="0"/>
      <w:marBottom w:val="0"/>
      <w:divBdr>
        <w:top w:val="none" w:sz="0" w:space="0" w:color="auto"/>
        <w:left w:val="none" w:sz="0" w:space="0" w:color="auto"/>
        <w:bottom w:val="none" w:sz="0" w:space="0" w:color="auto"/>
        <w:right w:val="none" w:sz="0" w:space="0" w:color="auto"/>
      </w:divBdr>
    </w:div>
    <w:div w:id="1764033575">
      <w:marLeft w:val="0"/>
      <w:marRight w:val="0"/>
      <w:marTop w:val="0"/>
      <w:marBottom w:val="0"/>
      <w:divBdr>
        <w:top w:val="none" w:sz="0" w:space="0" w:color="auto"/>
        <w:left w:val="none" w:sz="0" w:space="0" w:color="auto"/>
        <w:bottom w:val="none" w:sz="0" w:space="0" w:color="auto"/>
        <w:right w:val="none" w:sz="0" w:space="0" w:color="auto"/>
      </w:divBdr>
    </w:div>
    <w:div w:id="1764033576">
      <w:marLeft w:val="0"/>
      <w:marRight w:val="0"/>
      <w:marTop w:val="0"/>
      <w:marBottom w:val="0"/>
      <w:divBdr>
        <w:top w:val="none" w:sz="0" w:space="0" w:color="auto"/>
        <w:left w:val="none" w:sz="0" w:space="0" w:color="auto"/>
        <w:bottom w:val="none" w:sz="0" w:space="0" w:color="auto"/>
        <w:right w:val="none" w:sz="0" w:space="0" w:color="auto"/>
      </w:divBdr>
    </w:div>
    <w:div w:id="1764033577">
      <w:marLeft w:val="0"/>
      <w:marRight w:val="0"/>
      <w:marTop w:val="0"/>
      <w:marBottom w:val="0"/>
      <w:divBdr>
        <w:top w:val="none" w:sz="0" w:space="0" w:color="auto"/>
        <w:left w:val="none" w:sz="0" w:space="0" w:color="auto"/>
        <w:bottom w:val="none" w:sz="0" w:space="0" w:color="auto"/>
        <w:right w:val="none" w:sz="0" w:space="0" w:color="auto"/>
      </w:divBdr>
    </w:div>
    <w:div w:id="1764033578">
      <w:marLeft w:val="0"/>
      <w:marRight w:val="0"/>
      <w:marTop w:val="0"/>
      <w:marBottom w:val="0"/>
      <w:divBdr>
        <w:top w:val="none" w:sz="0" w:space="0" w:color="auto"/>
        <w:left w:val="none" w:sz="0" w:space="0" w:color="auto"/>
        <w:bottom w:val="none" w:sz="0" w:space="0" w:color="auto"/>
        <w:right w:val="none" w:sz="0" w:space="0" w:color="auto"/>
      </w:divBdr>
    </w:div>
    <w:div w:id="1764033579">
      <w:marLeft w:val="0"/>
      <w:marRight w:val="0"/>
      <w:marTop w:val="0"/>
      <w:marBottom w:val="0"/>
      <w:divBdr>
        <w:top w:val="none" w:sz="0" w:space="0" w:color="auto"/>
        <w:left w:val="none" w:sz="0" w:space="0" w:color="auto"/>
        <w:bottom w:val="none" w:sz="0" w:space="0" w:color="auto"/>
        <w:right w:val="none" w:sz="0" w:space="0" w:color="auto"/>
      </w:divBdr>
    </w:div>
    <w:div w:id="1764033580">
      <w:marLeft w:val="0"/>
      <w:marRight w:val="0"/>
      <w:marTop w:val="0"/>
      <w:marBottom w:val="0"/>
      <w:divBdr>
        <w:top w:val="none" w:sz="0" w:space="0" w:color="auto"/>
        <w:left w:val="none" w:sz="0" w:space="0" w:color="auto"/>
        <w:bottom w:val="none" w:sz="0" w:space="0" w:color="auto"/>
        <w:right w:val="none" w:sz="0" w:space="0" w:color="auto"/>
      </w:divBdr>
    </w:div>
    <w:div w:id="1764033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411</TotalTime>
  <Pages>9</Pages>
  <Words>1171</Words>
  <Characters>6677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充电基础设施背景分析</dc:title>
  <dc:subject/>
  <dc:creator>binxue</dc:creator>
  <cp:keywords/>
  <dc:description/>
  <cp:lastModifiedBy>renwei</cp:lastModifiedBy>
  <cp:revision>11</cp:revision>
  <cp:lastPrinted>2016-09-27T07:39:00Z</cp:lastPrinted>
  <dcterms:created xsi:type="dcterms:W3CDTF">2016-09-23T01:53:00Z</dcterms:created>
  <dcterms:modified xsi:type="dcterms:W3CDTF">2016-09-29T05:05:00Z</dcterms:modified>
</cp:coreProperties>
</file>