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highlight w:val="darkCyan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FFFF" w:themeColor="background1"/>
          <w:sz w:val="28"/>
          <w:szCs w:val="28"/>
          <w:highlight w:val="darkCyan"/>
          <w:lang w:val="en-US" w:eastAsia="zh-CN"/>
          <w14:textFill>
            <w14:solidFill>
              <w14:schemeClr w14:val="bg1"/>
            </w14:solidFill>
          </w14:textFill>
        </w:rPr>
        <w:t>“金熊猫奖”最畅销车型奖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新能源物流车车型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新能源乘用车车型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2019年公告销售数据；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线上投票+组委会评审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（二）线上投票规则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page"/>
      </w:r>
    </w:p>
    <w:tbl>
      <w:tblPr>
        <w:tblStyle w:val="8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90"/>
        <w:gridCol w:w="247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最畅销车型奖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车类别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□乘用车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□物流车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车型型号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2019年度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销量（辆）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车型介绍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大客户案例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40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品牌logo(源文件/PNG）、车型图片（内饰、外饰）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（（最少5张，尺寸900*600px，200kb以内））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853317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7A73B4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