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FFFFFF"/>
          <w:sz w:val="28"/>
          <w:szCs w:val="28"/>
          <w:highlight w:val="darkCyan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FFFF"/>
          <w:sz w:val="28"/>
          <w:szCs w:val="28"/>
          <w:highlight w:val="darkCyan"/>
          <w:lang w:val="en-US" w:eastAsia="zh-CN"/>
        </w:rPr>
        <w:t>“金熊猫奖”最佳核心零部件企业奖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电池、驱动电机、电控企业、充电企业及其他零部件企业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2019年度装机量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线上投票+组委会评审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（二）线上投票规则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page"/>
      </w:r>
    </w:p>
    <w:tbl>
      <w:tblPr>
        <w:tblStyle w:val="8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979"/>
        <w:gridCol w:w="230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  <w:lang w:eastAsia="zh-CN"/>
              </w:rPr>
              <w:t>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“金熊猫奖”最佳核心零部件企业奖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0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企业类别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动力电池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电机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□电控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□充电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企业介绍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产品介绍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2019年度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装机量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产品售后服务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客户评价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logo(源文件/PNG）、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产品图片（最少5张，尺寸：900*600px，200kb以内）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126D37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01C01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15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